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BDB0" w14:textId="77777777" w:rsidR="007E4855" w:rsidRPr="00884DBB" w:rsidRDefault="007E4855" w:rsidP="00F717DB">
      <w:pPr>
        <w:spacing w:after="0"/>
        <w:rPr>
          <w:rFonts w:ascii="Times New Roman" w:hAnsi="Times New Roman" w:cs="Times New Roman"/>
          <w:b/>
          <w:bCs/>
        </w:rPr>
      </w:pPr>
      <w:r w:rsidRPr="00884DBB">
        <w:rPr>
          <w:rFonts w:ascii="Times New Roman" w:hAnsi="Times New Roman" w:cs="Times New Roman"/>
          <w:b/>
          <w:bCs/>
        </w:rPr>
        <w:t xml:space="preserve">Comparative Print </w:t>
      </w:r>
    </w:p>
    <w:p w14:paraId="0287EAA6" w14:textId="77777777" w:rsidR="007E4855" w:rsidRPr="00884DBB" w:rsidRDefault="007E4855" w:rsidP="00F717DB">
      <w:pPr>
        <w:spacing w:after="0"/>
        <w:rPr>
          <w:rFonts w:ascii="Times New Roman" w:hAnsi="Times New Roman" w:cs="Times New Roman"/>
          <w:b/>
          <w:bCs/>
        </w:rPr>
      </w:pPr>
      <w:r w:rsidRPr="00884DBB">
        <w:rPr>
          <w:rFonts w:ascii="Times New Roman" w:hAnsi="Times New Roman" w:cs="Times New Roman"/>
          <w:b/>
          <w:bCs/>
        </w:rPr>
        <w:t>Committee on Public Works and Operations</w:t>
      </w:r>
    </w:p>
    <w:p w14:paraId="33419063" w14:textId="77777777" w:rsidR="007E4855" w:rsidRPr="00884DBB" w:rsidRDefault="007E4855" w:rsidP="00F717DB">
      <w:pPr>
        <w:spacing w:after="0"/>
        <w:rPr>
          <w:rFonts w:ascii="Times New Roman" w:hAnsi="Times New Roman" w:cs="Times New Roman"/>
          <w:b/>
          <w:bCs/>
        </w:rPr>
      </w:pPr>
      <w:r w:rsidRPr="00884DBB">
        <w:rPr>
          <w:rFonts w:ascii="Times New Roman" w:hAnsi="Times New Roman" w:cs="Times New Roman"/>
          <w:b/>
          <w:bCs/>
        </w:rPr>
        <w:t>B26-0494</w:t>
      </w:r>
    </w:p>
    <w:p w14:paraId="754CF4A4" w14:textId="70C32B9C" w:rsidR="007E4855" w:rsidRPr="00884DBB" w:rsidRDefault="007E4855" w:rsidP="007E4855">
      <w:pPr>
        <w:rPr>
          <w:rFonts w:ascii="Times New Roman" w:hAnsi="Times New Roman" w:cs="Times New Roman"/>
          <w:b/>
          <w:bCs/>
        </w:rPr>
      </w:pPr>
      <w:r w:rsidRPr="00884DBB">
        <w:rPr>
          <w:rFonts w:ascii="Times New Roman" w:hAnsi="Times New Roman" w:cs="Times New Roman"/>
          <w:b/>
          <w:bCs/>
        </w:rPr>
        <w:t>June 22, 2026</w:t>
      </w:r>
    </w:p>
    <w:p w14:paraId="2C078E63" w14:textId="7C5C8512" w:rsidR="003C3437" w:rsidRPr="00884DBB" w:rsidRDefault="003C3437">
      <w:pPr>
        <w:rPr>
          <w:rFonts w:ascii="Times New Roman" w:hAnsi="Times New Roman" w:cs="Times New Roman"/>
        </w:rPr>
      </w:pPr>
    </w:p>
    <w:p w14:paraId="29A0A041" w14:textId="6B6F4AAE" w:rsidR="3F4AF9B9" w:rsidRPr="00884DBB" w:rsidRDefault="00071A4A" w:rsidP="00071A4A">
      <w:pPr>
        <w:rPr>
          <w:rFonts w:ascii="Times New Roman" w:hAnsi="Times New Roman" w:cs="Times New Roman"/>
        </w:rPr>
      </w:pPr>
      <w:r w:rsidRPr="00884DBB">
        <w:rPr>
          <w:rFonts w:ascii="Times New Roman" w:hAnsi="Times New Roman" w:cs="Times New Roman"/>
        </w:rPr>
        <w:tab/>
      </w:r>
      <w:r w:rsidR="3F4AF9B9" w:rsidRPr="00884DBB">
        <w:rPr>
          <w:rFonts w:ascii="Times New Roman" w:hAnsi="Times New Roman" w:cs="Times New Roman"/>
        </w:rPr>
        <w:t>§ 47–2853.42. Eligibility requirements.</w:t>
      </w:r>
    </w:p>
    <w:p w14:paraId="7BF92A1B" w14:textId="68BF2A1D" w:rsidR="74FA7488" w:rsidRPr="00884DBB" w:rsidRDefault="00071A4A" w:rsidP="00071A4A">
      <w:pPr>
        <w:shd w:val="clear" w:color="auto" w:fill="FFFFFF" w:themeFill="background1"/>
        <w:spacing w:after="360"/>
        <w:rPr>
          <w:rFonts w:ascii="Times New Roman" w:eastAsia="Open Sans" w:hAnsi="Times New Roman" w:cs="Times New Roman"/>
          <w:color w:val="000000" w:themeColor="text1"/>
        </w:rPr>
      </w:pPr>
      <w:r w:rsidRPr="00884DBB">
        <w:rPr>
          <w:rFonts w:ascii="Times New Roman" w:eastAsia="Open Sans" w:hAnsi="Times New Roman" w:cs="Times New Roman"/>
          <w:color w:val="000000" w:themeColor="text1"/>
        </w:rPr>
        <w:tab/>
      </w:r>
      <w:r w:rsidRPr="00884DBB">
        <w:rPr>
          <w:rFonts w:ascii="Times New Roman" w:eastAsia="Open Sans" w:hAnsi="Times New Roman" w:cs="Times New Roman"/>
          <w:b/>
          <w:color w:val="000000" w:themeColor="text1"/>
          <w:u w:val="single"/>
        </w:rPr>
        <w:t xml:space="preserve">(a) </w:t>
      </w:r>
      <w:r w:rsidR="74FA7488" w:rsidRPr="00884DBB">
        <w:rPr>
          <w:rFonts w:ascii="Times New Roman" w:eastAsia="Open Sans" w:hAnsi="Times New Roman" w:cs="Times New Roman"/>
          <w:color w:val="000000" w:themeColor="text1"/>
        </w:rPr>
        <w:t>An applicant for licensure as a certified public accountant shall establish to the satisfaction of the Board</w:t>
      </w:r>
      <w:r w:rsidR="74FA7488" w:rsidRPr="00884DBB">
        <w:rPr>
          <w:rFonts w:ascii="Times New Roman" w:eastAsia="Open Sans" w:hAnsi="Times New Roman" w:cs="Times New Roman"/>
          <w:strike/>
          <w:color w:val="000000" w:themeColor="text1"/>
        </w:rPr>
        <w:t xml:space="preserve"> of Accountancy</w:t>
      </w:r>
      <w:r w:rsidR="74FA7488" w:rsidRPr="00884DBB">
        <w:rPr>
          <w:rFonts w:ascii="Times New Roman" w:eastAsia="Open Sans" w:hAnsi="Times New Roman" w:cs="Times New Roman"/>
          <w:color w:val="000000" w:themeColor="text1"/>
        </w:rPr>
        <w:t xml:space="preserve"> that the applicant:</w:t>
      </w:r>
    </w:p>
    <w:p w14:paraId="07DD2367" w14:textId="5DB0E744" w:rsidR="74FA7488" w:rsidRPr="00884DBB" w:rsidRDefault="74FA7488" w:rsidP="6C50C59E">
      <w:pPr>
        <w:shd w:val="clear" w:color="auto" w:fill="FFFFFF" w:themeFill="background1"/>
        <w:spacing w:after="360"/>
        <w:ind w:firstLine="720"/>
        <w:rPr>
          <w:rFonts w:ascii="Times New Roman" w:eastAsia="Open Sans" w:hAnsi="Times New Roman" w:cs="Times New Roman"/>
          <w:strike/>
          <w:color w:val="000000" w:themeColor="text1"/>
        </w:rPr>
      </w:pPr>
      <w:r w:rsidRPr="00884DBB">
        <w:rPr>
          <w:rFonts w:ascii="Times New Roman" w:eastAsia="Open Sans" w:hAnsi="Times New Roman" w:cs="Times New Roman"/>
          <w:strike/>
          <w:color w:val="000000" w:themeColor="text1"/>
        </w:rPr>
        <w:t>(1) [Repealed].</w:t>
      </w:r>
      <w:r w:rsidR="00524870" w:rsidRPr="00884DBB">
        <w:rPr>
          <w:rFonts w:ascii="Times New Roman" w:eastAsia="Open Sans" w:hAnsi="Times New Roman" w:cs="Times New Roman"/>
          <w:strike/>
          <w:color w:val="000000" w:themeColor="text1"/>
        </w:rPr>
        <w:t xml:space="preserve"> </w:t>
      </w:r>
    </w:p>
    <w:p w14:paraId="43AE4F29" w14:textId="3C354EAE" w:rsidR="74FA7488" w:rsidRPr="00884DBB" w:rsidRDefault="74FA7488" w:rsidP="6C50C59E">
      <w:pPr>
        <w:shd w:val="clear" w:color="auto" w:fill="FFFFFF" w:themeFill="background1"/>
        <w:spacing w:after="360"/>
        <w:ind w:firstLine="720"/>
        <w:rPr>
          <w:rFonts w:ascii="Times New Roman" w:eastAsia="Open Sans" w:hAnsi="Times New Roman" w:cs="Times New Roman"/>
          <w:strike/>
          <w:color w:val="000000" w:themeColor="text1"/>
        </w:rPr>
      </w:pPr>
      <w:r w:rsidRPr="00884DBB">
        <w:rPr>
          <w:rFonts w:ascii="Times New Roman" w:eastAsia="Open Sans" w:hAnsi="Times New Roman" w:cs="Times New Roman"/>
          <w:strike/>
          <w:color w:val="000000" w:themeColor="text1"/>
        </w:rPr>
        <w:t>(2) [Repealed].</w:t>
      </w:r>
    </w:p>
    <w:p w14:paraId="30E7F93B" w14:textId="001C62E5" w:rsidR="74FA7488" w:rsidRPr="00884DBB" w:rsidRDefault="74FA7488" w:rsidP="6C50C59E">
      <w:pPr>
        <w:shd w:val="clear" w:color="auto" w:fill="FFFFFF" w:themeFill="background1"/>
        <w:spacing w:after="360"/>
        <w:ind w:firstLine="720"/>
        <w:rPr>
          <w:rFonts w:ascii="Times New Roman" w:eastAsia="Open Sans" w:hAnsi="Times New Roman" w:cs="Times New Roman"/>
          <w:color w:val="000000" w:themeColor="text1"/>
        </w:rPr>
      </w:pPr>
      <w:r w:rsidRPr="00884DBB">
        <w:rPr>
          <w:rFonts w:ascii="Times New Roman" w:eastAsia="Open Sans" w:hAnsi="Times New Roman" w:cs="Times New Roman"/>
          <w:color w:val="000000" w:themeColor="text1"/>
        </w:rPr>
        <w:t>(</w:t>
      </w:r>
      <w:r w:rsidRPr="00884DBB">
        <w:rPr>
          <w:rFonts w:ascii="Times New Roman" w:eastAsia="Open Sans" w:hAnsi="Times New Roman" w:cs="Times New Roman"/>
          <w:strike/>
          <w:color w:val="000000" w:themeColor="text1"/>
        </w:rPr>
        <w:t>3</w:t>
      </w:r>
      <w:r w:rsidR="001C14CA" w:rsidRPr="00884DBB">
        <w:rPr>
          <w:rFonts w:ascii="Times New Roman" w:eastAsia="Open Sans" w:hAnsi="Times New Roman" w:cs="Times New Roman"/>
          <w:b/>
          <w:bCs/>
          <w:color w:val="000000" w:themeColor="text1"/>
          <w:u w:val="single"/>
        </w:rPr>
        <w:t>1</w:t>
      </w:r>
      <w:r w:rsidRPr="00884DBB">
        <w:rPr>
          <w:rFonts w:ascii="Times New Roman" w:eastAsia="Open Sans" w:hAnsi="Times New Roman" w:cs="Times New Roman"/>
          <w:color w:val="000000" w:themeColor="text1"/>
        </w:rPr>
        <w:t>) Has passed an examination in accounting and auditing and such related subjects as the Board shall determine to be appropriate;</w:t>
      </w:r>
    </w:p>
    <w:p w14:paraId="206C454A" w14:textId="0B45CB51" w:rsidR="74FA7488" w:rsidRPr="00884DBB" w:rsidRDefault="74FA7488" w:rsidP="6C50C59E">
      <w:pPr>
        <w:shd w:val="clear" w:color="auto" w:fill="FFFFFF" w:themeFill="background1"/>
        <w:spacing w:after="360"/>
        <w:ind w:firstLine="720"/>
        <w:rPr>
          <w:rFonts w:ascii="Times New Roman" w:eastAsia="Open Sans" w:hAnsi="Times New Roman" w:cs="Times New Roman"/>
          <w:b/>
          <w:bCs/>
          <w:color w:val="000000" w:themeColor="text1"/>
          <w:u w:val="single"/>
        </w:rPr>
      </w:pPr>
      <w:r w:rsidRPr="00884DBB">
        <w:rPr>
          <w:rFonts w:ascii="Times New Roman" w:eastAsia="Open Sans" w:hAnsi="Times New Roman" w:cs="Times New Roman"/>
          <w:color w:val="000000" w:themeColor="text1"/>
        </w:rPr>
        <w:t>(</w:t>
      </w:r>
      <w:r w:rsidRPr="00884DBB">
        <w:rPr>
          <w:rFonts w:ascii="Times New Roman" w:eastAsia="Open Sans" w:hAnsi="Times New Roman" w:cs="Times New Roman"/>
          <w:strike/>
          <w:color w:val="000000" w:themeColor="text1"/>
        </w:rPr>
        <w:t>4</w:t>
      </w:r>
      <w:r w:rsidR="00805963" w:rsidRPr="00884DBB">
        <w:rPr>
          <w:rFonts w:ascii="Times New Roman" w:eastAsia="Open Sans" w:hAnsi="Times New Roman" w:cs="Times New Roman"/>
          <w:b/>
          <w:bCs/>
          <w:color w:val="000000" w:themeColor="text1"/>
          <w:u w:val="single"/>
        </w:rPr>
        <w:t>2</w:t>
      </w:r>
      <w:r w:rsidRPr="00884DBB">
        <w:rPr>
          <w:rFonts w:ascii="Times New Roman" w:eastAsia="Open Sans" w:hAnsi="Times New Roman" w:cs="Times New Roman"/>
          <w:color w:val="000000" w:themeColor="text1"/>
        </w:rPr>
        <w:t>)(A) Holds a baccalaureate</w:t>
      </w:r>
      <w:r w:rsidR="007B7278" w:rsidRPr="00884DBB">
        <w:rPr>
          <w:rFonts w:ascii="Times New Roman" w:eastAsia="Open Sans" w:hAnsi="Times New Roman" w:cs="Times New Roman"/>
          <w:color w:val="000000" w:themeColor="text1"/>
        </w:rPr>
        <w:t xml:space="preserve"> </w:t>
      </w:r>
      <w:r w:rsidR="007B7278" w:rsidRPr="00884DBB">
        <w:rPr>
          <w:rFonts w:ascii="Times New Roman" w:eastAsia="Open Sans" w:hAnsi="Times New Roman" w:cs="Times New Roman"/>
          <w:b/>
          <w:bCs/>
          <w:color w:val="000000" w:themeColor="text1"/>
          <w:u w:val="single"/>
        </w:rPr>
        <w:t xml:space="preserve">or post-baccalaureate </w:t>
      </w:r>
      <w:r w:rsidRPr="00884DBB">
        <w:rPr>
          <w:rFonts w:ascii="Times New Roman" w:eastAsia="Open Sans" w:hAnsi="Times New Roman" w:cs="Times New Roman"/>
          <w:color w:val="000000" w:themeColor="text1"/>
        </w:rPr>
        <w:t xml:space="preserve">degree with a concentration in accounting conferred by a college or university </w:t>
      </w:r>
      <w:r w:rsidRPr="00884DBB">
        <w:rPr>
          <w:rFonts w:ascii="Times New Roman" w:eastAsia="Open Sans" w:hAnsi="Times New Roman" w:cs="Times New Roman"/>
          <w:strike/>
          <w:color w:val="000000" w:themeColor="text1"/>
        </w:rPr>
        <w:t xml:space="preserve">recognized by </w:t>
      </w:r>
      <w:r w:rsidR="00C40CD3" w:rsidRPr="00884DBB">
        <w:rPr>
          <w:rFonts w:ascii="Times New Roman" w:eastAsia="Open Sans" w:hAnsi="Times New Roman" w:cs="Times New Roman"/>
          <w:b/>
          <w:bCs/>
          <w:color w:val="000000" w:themeColor="text1"/>
          <w:u w:val="single"/>
        </w:rPr>
        <w:t xml:space="preserve">acceptable to </w:t>
      </w:r>
      <w:r w:rsidRPr="00884DBB">
        <w:rPr>
          <w:rFonts w:ascii="Times New Roman" w:eastAsia="Open Sans" w:hAnsi="Times New Roman" w:cs="Times New Roman"/>
          <w:color w:val="000000" w:themeColor="text1"/>
        </w:rPr>
        <w:t xml:space="preserve">the Board or holds </w:t>
      </w:r>
      <w:r w:rsidRPr="00884DBB">
        <w:rPr>
          <w:rFonts w:ascii="Times New Roman" w:eastAsia="Open Sans" w:hAnsi="Times New Roman" w:cs="Times New Roman"/>
          <w:strike/>
          <w:color w:val="000000" w:themeColor="text1"/>
        </w:rPr>
        <w:t xml:space="preserve">that which </w:t>
      </w:r>
      <w:proofErr w:type="gramStart"/>
      <w:r w:rsidR="00183DB5" w:rsidRPr="00884DBB">
        <w:rPr>
          <w:rFonts w:ascii="Times New Roman" w:eastAsia="Open Sans" w:hAnsi="Times New Roman" w:cs="Times New Roman"/>
          <w:b/>
          <w:bCs/>
          <w:color w:val="000000" w:themeColor="text1"/>
          <w:u w:val="single"/>
        </w:rPr>
        <w:t>a degree</w:t>
      </w:r>
      <w:proofErr w:type="gramEnd"/>
      <w:r w:rsidR="00183DB5" w:rsidRPr="00884DBB">
        <w:rPr>
          <w:rFonts w:ascii="Times New Roman" w:eastAsia="Open Sans" w:hAnsi="Times New Roman" w:cs="Times New Roman"/>
          <w:b/>
          <w:bCs/>
          <w:color w:val="000000" w:themeColor="text1"/>
          <w:u w:val="single"/>
        </w:rPr>
        <w:t xml:space="preserve"> </w:t>
      </w:r>
      <w:r w:rsidRPr="00884DBB">
        <w:rPr>
          <w:rFonts w:ascii="Times New Roman" w:eastAsia="Open Sans" w:hAnsi="Times New Roman" w:cs="Times New Roman"/>
          <w:color w:val="000000" w:themeColor="text1"/>
        </w:rPr>
        <w:t xml:space="preserve">the Board determines to be substantially </w:t>
      </w:r>
      <w:r w:rsidRPr="00884DBB">
        <w:rPr>
          <w:rFonts w:ascii="Times New Roman" w:eastAsia="Open Sans" w:hAnsi="Times New Roman" w:cs="Times New Roman"/>
          <w:strike/>
          <w:color w:val="000000" w:themeColor="text1"/>
        </w:rPr>
        <w:t xml:space="preserve">the </w:t>
      </w:r>
      <w:r w:rsidRPr="00884DBB">
        <w:rPr>
          <w:rFonts w:ascii="Times New Roman" w:eastAsia="Open Sans" w:hAnsi="Times New Roman" w:cs="Times New Roman"/>
          <w:color w:val="000000" w:themeColor="text1"/>
        </w:rPr>
        <w:t>equivalent</w:t>
      </w:r>
      <w:r w:rsidRPr="00884DBB">
        <w:rPr>
          <w:rFonts w:ascii="Times New Roman" w:eastAsia="Open Sans" w:hAnsi="Times New Roman" w:cs="Times New Roman"/>
          <w:strike/>
          <w:color w:val="000000" w:themeColor="text1"/>
        </w:rPr>
        <w:t xml:space="preserve"> thereof</w:t>
      </w:r>
      <w:r w:rsidR="005B52FE" w:rsidRPr="00884DBB">
        <w:rPr>
          <w:rFonts w:ascii="Times New Roman" w:eastAsia="Open Sans" w:hAnsi="Times New Roman" w:cs="Times New Roman"/>
          <w:b/>
          <w:bCs/>
          <w:color w:val="000000" w:themeColor="text1"/>
          <w:u w:val="single"/>
        </w:rPr>
        <w:t xml:space="preserve"> there</w:t>
      </w:r>
      <w:r w:rsidR="00BF0BF9" w:rsidRPr="00884DBB">
        <w:rPr>
          <w:rFonts w:ascii="Times New Roman" w:eastAsia="Open Sans" w:hAnsi="Times New Roman" w:cs="Times New Roman"/>
          <w:b/>
          <w:bCs/>
          <w:color w:val="000000" w:themeColor="text1"/>
          <w:u w:val="single"/>
        </w:rPr>
        <w:t>to</w:t>
      </w:r>
      <w:r w:rsidRPr="00884DBB">
        <w:rPr>
          <w:rFonts w:ascii="Times New Roman" w:eastAsia="Open Sans" w:hAnsi="Times New Roman" w:cs="Times New Roman"/>
          <w:color w:val="000000" w:themeColor="text1"/>
        </w:rPr>
        <w:t>; or</w:t>
      </w:r>
    </w:p>
    <w:p w14:paraId="03999893" w14:textId="1415C0A2" w:rsidR="74FA7488" w:rsidRPr="00884DBB" w:rsidRDefault="74FA7488" w:rsidP="6C50C59E">
      <w:pPr>
        <w:shd w:val="clear" w:color="auto" w:fill="FFFFFF" w:themeFill="background1"/>
        <w:spacing w:after="360"/>
        <w:ind w:firstLine="1440"/>
        <w:rPr>
          <w:rFonts w:ascii="Times New Roman" w:eastAsia="Open Sans" w:hAnsi="Times New Roman" w:cs="Times New Roman"/>
          <w:color w:val="000000" w:themeColor="text1"/>
        </w:rPr>
      </w:pPr>
      <w:r w:rsidRPr="00884DBB">
        <w:rPr>
          <w:rFonts w:ascii="Times New Roman" w:eastAsia="Open Sans" w:hAnsi="Times New Roman" w:cs="Times New Roman"/>
          <w:color w:val="000000" w:themeColor="text1"/>
        </w:rPr>
        <w:t xml:space="preserve">(B) Holds a baccalaureate degree </w:t>
      </w:r>
      <w:r w:rsidR="00773A0E" w:rsidRPr="00884DBB">
        <w:rPr>
          <w:rFonts w:ascii="Times New Roman" w:eastAsia="Open Sans" w:hAnsi="Times New Roman" w:cs="Times New Roman"/>
          <w:b/>
          <w:bCs/>
          <w:color w:val="000000" w:themeColor="text1"/>
          <w:u w:val="single"/>
        </w:rPr>
        <w:t xml:space="preserve">conferred by a college or university </w:t>
      </w:r>
      <w:r w:rsidRPr="00884DBB">
        <w:rPr>
          <w:rFonts w:ascii="Times New Roman" w:eastAsia="Open Sans" w:hAnsi="Times New Roman" w:cs="Times New Roman"/>
          <w:color w:val="000000" w:themeColor="text1"/>
        </w:rPr>
        <w:t>acceptable to the Board supplemented with the equivalent of an accounting</w:t>
      </w:r>
      <w:r w:rsidR="006A6711" w:rsidRPr="00884DBB">
        <w:rPr>
          <w:rFonts w:ascii="Times New Roman" w:eastAsia="Open Sans" w:hAnsi="Times New Roman" w:cs="Times New Roman"/>
          <w:color w:val="000000" w:themeColor="text1"/>
        </w:rPr>
        <w:t xml:space="preserve"> concentration</w:t>
      </w:r>
      <w:r w:rsidR="006C7205" w:rsidRPr="00884DBB">
        <w:rPr>
          <w:rFonts w:ascii="Times New Roman" w:eastAsia="Open Sans" w:hAnsi="Times New Roman" w:cs="Times New Roman"/>
          <w:b/>
          <w:bCs/>
          <w:color w:val="000000" w:themeColor="text1"/>
          <w:u w:val="single"/>
        </w:rPr>
        <w:t>[,]</w:t>
      </w:r>
      <w:r w:rsidR="002C7753" w:rsidRPr="00884DBB">
        <w:rPr>
          <w:rFonts w:ascii="Times New Roman" w:eastAsia="Open Sans" w:hAnsi="Times New Roman" w:cs="Times New Roman"/>
          <w:color w:val="000000" w:themeColor="text1"/>
        </w:rPr>
        <w:t xml:space="preserve"> </w:t>
      </w:r>
      <w:r w:rsidR="002C7753" w:rsidRPr="00884DBB">
        <w:rPr>
          <w:rFonts w:ascii="Times New Roman" w:eastAsia="Open Sans" w:hAnsi="Times New Roman" w:cs="Times New Roman"/>
          <w:strike/>
          <w:color w:val="000000" w:themeColor="text1"/>
        </w:rPr>
        <w:t xml:space="preserve">including </w:t>
      </w:r>
      <w:r w:rsidR="006C7205" w:rsidRPr="00884DBB">
        <w:rPr>
          <w:rFonts w:ascii="Times New Roman" w:eastAsia="Open Sans" w:hAnsi="Times New Roman" w:cs="Times New Roman"/>
          <w:b/>
          <w:bCs/>
          <w:color w:val="000000" w:themeColor="text1"/>
          <w:u w:val="single"/>
        </w:rPr>
        <w:t xml:space="preserve">which may include </w:t>
      </w:r>
      <w:r w:rsidR="002C7753" w:rsidRPr="00884DBB">
        <w:rPr>
          <w:rFonts w:ascii="Times New Roman" w:eastAsia="Open Sans" w:hAnsi="Times New Roman" w:cs="Times New Roman"/>
          <w:color w:val="000000" w:themeColor="text1"/>
        </w:rPr>
        <w:t xml:space="preserve">related courses in other areas of business administration; </w:t>
      </w:r>
      <w:r w:rsidR="002C7753" w:rsidRPr="00884DBB">
        <w:rPr>
          <w:rFonts w:ascii="Times New Roman" w:eastAsia="Open Sans" w:hAnsi="Times New Roman" w:cs="Times New Roman"/>
          <w:strike/>
          <w:color w:val="000000" w:themeColor="text1"/>
        </w:rPr>
        <w:t>and</w:t>
      </w:r>
    </w:p>
    <w:p w14:paraId="25B32847" w14:textId="2F1A8948" w:rsidR="74FA7488" w:rsidRPr="00884DBB" w:rsidRDefault="00D821E1" w:rsidP="6C50C59E">
      <w:pPr>
        <w:shd w:val="clear" w:color="auto" w:fill="FFFFFF" w:themeFill="background1"/>
        <w:spacing w:after="360"/>
        <w:ind w:firstLine="1440"/>
        <w:rPr>
          <w:rFonts w:ascii="Times New Roman" w:eastAsia="Open Sans" w:hAnsi="Times New Roman" w:cs="Times New Roman"/>
          <w:strike/>
          <w:color w:val="000000" w:themeColor="text1"/>
        </w:rPr>
      </w:pPr>
      <w:r w:rsidRPr="00884DBB">
        <w:rPr>
          <w:rFonts w:ascii="Times New Roman" w:eastAsia="Open Sans" w:hAnsi="Times New Roman" w:cs="Times New Roman"/>
          <w:strike/>
          <w:color w:val="000000" w:themeColor="text1"/>
        </w:rPr>
        <w:t>(C)</w:t>
      </w:r>
      <w:r w:rsidR="74FA7488" w:rsidRPr="00884DBB">
        <w:rPr>
          <w:rFonts w:ascii="Times New Roman" w:eastAsia="Open Sans" w:hAnsi="Times New Roman" w:cs="Times New Roman"/>
          <w:strike/>
          <w:color w:val="000000" w:themeColor="text1"/>
        </w:rPr>
        <w:t xml:space="preserve"> For applicants receiving a baccalaureate degree after January 1, 2000, in addition to meeting the requirements of either subparagraphs (A) or (B) of this paragraph, possesses 150 semester hours of college education; and</w:t>
      </w:r>
    </w:p>
    <w:p w14:paraId="15FBE43B" w14:textId="77777777" w:rsidR="00D821E1" w:rsidRPr="00884DBB" w:rsidRDefault="00EA2A08" w:rsidP="6C50C59E">
      <w:pPr>
        <w:shd w:val="clear" w:color="auto" w:fill="FFFFFF" w:themeFill="background1"/>
        <w:spacing w:after="360"/>
        <w:ind w:firstLine="720"/>
        <w:rPr>
          <w:rFonts w:ascii="Times New Roman" w:eastAsia="Open Sans" w:hAnsi="Times New Roman" w:cs="Times New Roman"/>
          <w:b/>
          <w:bCs/>
          <w:color w:val="000000" w:themeColor="text1"/>
          <w:u w:val="single"/>
        </w:rPr>
      </w:pPr>
      <w:r w:rsidRPr="00884DBB">
        <w:rPr>
          <w:rFonts w:ascii="Times New Roman" w:eastAsia="Open Sans" w:hAnsi="Times New Roman" w:cs="Times New Roman"/>
          <w:b/>
          <w:bCs/>
          <w:color w:val="000000" w:themeColor="text1"/>
          <w:u w:val="single"/>
        </w:rPr>
        <w:t>(3) Has completed the following years of relevant experience:</w:t>
      </w:r>
    </w:p>
    <w:p w14:paraId="1FE851B2" w14:textId="6B95FEC2" w:rsidR="001C1F0F" w:rsidRPr="00884DBB" w:rsidRDefault="00D821E1" w:rsidP="00D821E1">
      <w:pPr>
        <w:shd w:val="clear" w:color="auto" w:fill="FFFFFF" w:themeFill="background1"/>
        <w:spacing w:after="360"/>
        <w:ind w:firstLine="1440"/>
        <w:rPr>
          <w:rFonts w:ascii="Times New Roman" w:hAnsi="Times New Roman" w:cs="Times New Roman"/>
          <w:b/>
          <w:bCs/>
          <w:u w:val="single"/>
        </w:rPr>
      </w:pPr>
      <w:r w:rsidRPr="00884DBB">
        <w:rPr>
          <w:rFonts w:ascii="Times New Roman" w:eastAsia="Open Sans" w:hAnsi="Times New Roman" w:cs="Times New Roman"/>
          <w:b/>
          <w:bCs/>
          <w:color w:val="000000" w:themeColor="text1"/>
          <w:u w:val="single"/>
        </w:rPr>
        <w:t>(</w:t>
      </w:r>
      <w:r w:rsidRPr="00884DBB">
        <w:rPr>
          <w:rFonts w:ascii="Times New Roman" w:hAnsi="Times New Roman" w:cs="Times New Roman"/>
          <w:b/>
          <w:bCs/>
          <w:u w:val="single"/>
        </w:rPr>
        <w:t xml:space="preserve">A) Two years for an applicant </w:t>
      </w:r>
      <w:r w:rsidR="008975D0" w:rsidRPr="00884DBB">
        <w:rPr>
          <w:rFonts w:ascii="Times New Roman" w:hAnsi="Times New Roman" w:cs="Times New Roman"/>
          <w:b/>
          <w:bCs/>
          <w:u w:val="single"/>
        </w:rPr>
        <w:t xml:space="preserve">who </w:t>
      </w:r>
      <w:r w:rsidRPr="00884DBB">
        <w:rPr>
          <w:rFonts w:ascii="Times New Roman" w:hAnsi="Times New Roman" w:cs="Times New Roman"/>
          <w:b/>
          <w:bCs/>
          <w:u w:val="single"/>
        </w:rPr>
        <w:t xml:space="preserve">holds a baccalaureate degree described in paragraph (2)(A) or (B) of this subsection, of which one year may be substituted by having completed an additional 30 semester credit hours above the minimum hours required for a baccalaureate degree; or </w:t>
      </w:r>
    </w:p>
    <w:p w14:paraId="065E6742" w14:textId="2C4EAE66" w:rsidR="00D821E1" w:rsidRPr="00884DBB" w:rsidRDefault="00D821E1" w:rsidP="00D821E1">
      <w:pPr>
        <w:shd w:val="clear" w:color="auto" w:fill="FFFFFF" w:themeFill="background1"/>
        <w:spacing w:after="360"/>
        <w:ind w:firstLine="1440"/>
        <w:rPr>
          <w:rFonts w:ascii="Times New Roman" w:eastAsia="Open Sans" w:hAnsi="Times New Roman" w:cs="Times New Roman"/>
          <w:b/>
          <w:bCs/>
          <w:color w:val="000000" w:themeColor="text1"/>
          <w:u w:val="single"/>
        </w:rPr>
      </w:pPr>
      <w:r w:rsidRPr="00884DBB">
        <w:rPr>
          <w:rFonts w:ascii="Times New Roman" w:hAnsi="Times New Roman" w:cs="Times New Roman"/>
          <w:b/>
          <w:bCs/>
          <w:u w:val="single"/>
        </w:rPr>
        <w:t xml:space="preserve">(B) One year for an applicant </w:t>
      </w:r>
      <w:r w:rsidR="0001692B" w:rsidRPr="00884DBB">
        <w:rPr>
          <w:rFonts w:ascii="Times New Roman" w:hAnsi="Times New Roman" w:cs="Times New Roman"/>
          <w:b/>
          <w:bCs/>
          <w:u w:val="single"/>
        </w:rPr>
        <w:t>who</w:t>
      </w:r>
      <w:r w:rsidRPr="00884DBB">
        <w:rPr>
          <w:rFonts w:ascii="Times New Roman" w:hAnsi="Times New Roman" w:cs="Times New Roman"/>
          <w:b/>
          <w:bCs/>
          <w:u w:val="single"/>
        </w:rPr>
        <w:t xml:space="preserve"> holds a post-baccalaureate degree described in paragraph (2)(A) of this subsection; and</w:t>
      </w:r>
    </w:p>
    <w:p w14:paraId="1BDF2114" w14:textId="23C22CAD" w:rsidR="001336A0" w:rsidRPr="00884DBB" w:rsidRDefault="74FA7488" w:rsidP="6C50C59E">
      <w:pPr>
        <w:shd w:val="clear" w:color="auto" w:fill="FFFFFF" w:themeFill="background1"/>
        <w:spacing w:after="360"/>
        <w:ind w:firstLine="720"/>
        <w:rPr>
          <w:rFonts w:ascii="Times New Roman" w:eastAsia="Open Sans" w:hAnsi="Times New Roman" w:cs="Times New Roman"/>
          <w:color w:val="000000" w:themeColor="text1"/>
        </w:rPr>
      </w:pPr>
      <w:r w:rsidRPr="00884DBB">
        <w:rPr>
          <w:rFonts w:ascii="Times New Roman" w:eastAsia="Open Sans" w:hAnsi="Times New Roman" w:cs="Times New Roman"/>
          <w:color w:val="000000" w:themeColor="text1"/>
        </w:rPr>
        <w:lastRenderedPageBreak/>
        <w:t>(</w:t>
      </w:r>
      <w:r w:rsidRPr="00884DBB">
        <w:rPr>
          <w:rFonts w:ascii="Times New Roman" w:eastAsia="Open Sans" w:hAnsi="Times New Roman" w:cs="Times New Roman"/>
          <w:strike/>
          <w:color w:val="000000" w:themeColor="text1"/>
        </w:rPr>
        <w:t>5</w:t>
      </w:r>
      <w:r w:rsidR="00A01251" w:rsidRPr="00884DBB">
        <w:rPr>
          <w:rFonts w:ascii="Times New Roman" w:eastAsia="Open Sans" w:hAnsi="Times New Roman" w:cs="Times New Roman"/>
          <w:b/>
          <w:bCs/>
          <w:color w:val="000000" w:themeColor="text1"/>
        </w:rPr>
        <w:t>4</w:t>
      </w:r>
      <w:r w:rsidRPr="00884DBB">
        <w:rPr>
          <w:rFonts w:ascii="Times New Roman" w:eastAsia="Open Sans" w:hAnsi="Times New Roman" w:cs="Times New Roman"/>
          <w:color w:val="000000" w:themeColor="text1"/>
        </w:rPr>
        <w:t xml:space="preserve">) Meets any other requirements established by rule </w:t>
      </w:r>
      <w:r w:rsidRPr="00884DBB">
        <w:rPr>
          <w:rFonts w:ascii="Times New Roman" w:eastAsia="Open Sans" w:hAnsi="Times New Roman" w:cs="Times New Roman"/>
          <w:strike/>
          <w:color w:val="000000" w:themeColor="text1"/>
        </w:rPr>
        <w:t>to ensure that the applicant has the proper training, experience, and qualifications to practice as a certified public accountant</w:t>
      </w:r>
      <w:r w:rsidRPr="00884DBB">
        <w:rPr>
          <w:rFonts w:ascii="Times New Roman" w:eastAsia="Open Sans" w:hAnsi="Times New Roman" w:cs="Times New Roman"/>
          <w:color w:val="000000" w:themeColor="text1"/>
        </w:rPr>
        <w:t>.</w:t>
      </w:r>
    </w:p>
    <w:p w14:paraId="5B23947E" w14:textId="77777777" w:rsidR="002C334F" w:rsidRPr="00884DBB" w:rsidRDefault="001336A0" w:rsidP="6C50C59E">
      <w:pPr>
        <w:shd w:val="clear" w:color="auto" w:fill="FFFFFF" w:themeFill="background1"/>
        <w:spacing w:after="360"/>
        <w:ind w:firstLine="720"/>
        <w:rPr>
          <w:rFonts w:ascii="Times New Roman" w:hAnsi="Times New Roman" w:cs="Times New Roman"/>
          <w:b/>
          <w:bCs/>
          <w:u w:val="single"/>
        </w:rPr>
      </w:pPr>
      <w:r w:rsidRPr="00884DBB">
        <w:rPr>
          <w:rFonts w:ascii="Times New Roman" w:hAnsi="Times New Roman" w:cs="Times New Roman"/>
          <w:b/>
          <w:bCs/>
          <w:u w:val="single"/>
        </w:rPr>
        <w:t xml:space="preserve">(b) For the purposes of subsection (a)(3) of this section: </w:t>
      </w:r>
    </w:p>
    <w:p w14:paraId="227E0C85" w14:textId="788767FB" w:rsidR="002C334F" w:rsidRPr="00884DBB" w:rsidRDefault="001336A0" w:rsidP="00321193">
      <w:pPr>
        <w:shd w:val="clear" w:color="auto" w:fill="FFFFFF" w:themeFill="background1"/>
        <w:spacing w:after="360"/>
        <w:ind w:firstLine="1530"/>
        <w:rPr>
          <w:rFonts w:ascii="Times New Roman" w:hAnsi="Times New Roman" w:cs="Times New Roman"/>
          <w:b/>
          <w:bCs/>
          <w:u w:val="single"/>
        </w:rPr>
      </w:pPr>
      <w:r w:rsidRPr="00884DBB">
        <w:rPr>
          <w:rFonts w:ascii="Times New Roman" w:hAnsi="Times New Roman" w:cs="Times New Roman"/>
          <w:b/>
          <w:bCs/>
          <w:u w:val="single"/>
        </w:rPr>
        <w:t xml:space="preserve">(1) “Relevant experience” means providing service or advice representing the skills needed at the time of licensure to serve the public as a certified public accountant. </w:t>
      </w:r>
    </w:p>
    <w:p w14:paraId="19EEAC55" w14:textId="255B8F92" w:rsidR="002C334F" w:rsidRPr="00884DBB" w:rsidRDefault="001336A0" w:rsidP="00321193">
      <w:pPr>
        <w:shd w:val="clear" w:color="auto" w:fill="FFFFFF" w:themeFill="background1"/>
        <w:spacing w:after="360"/>
        <w:ind w:firstLine="1440"/>
        <w:rPr>
          <w:rFonts w:ascii="Times New Roman" w:hAnsi="Times New Roman" w:cs="Times New Roman"/>
          <w:b/>
          <w:bCs/>
          <w:u w:val="single"/>
        </w:rPr>
      </w:pPr>
      <w:r w:rsidRPr="00884DBB">
        <w:rPr>
          <w:rFonts w:ascii="Times New Roman" w:hAnsi="Times New Roman" w:cs="Times New Roman"/>
          <w:b/>
          <w:bCs/>
          <w:u w:val="single"/>
        </w:rPr>
        <w:t xml:space="preserve">(2) Relevant experience includes providing any type of business services or advice using accounting, attest, compilation, management advisory, financial advisory, tax, or consulting skills, to the extent such experience has been verified by a person licensed as a certified public accountant. </w:t>
      </w:r>
    </w:p>
    <w:p w14:paraId="773FC208" w14:textId="77777777" w:rsidR="00030584" w:rsidRPr="00884DBB" w:rsidRDefault="001336A0" w:rsidP="00321193">
      <w:pPr>
        <w:shd w:val="clear" w:color="auto" w:fill="FFFFFF" w:themeFill="background1"/>
        <w:spacing w:after="360"/>
        <w:ind w:firstLine="1440"/>
        <w:rPr>
          <w:rFonts w:ascii="Times New Roman" w:hAnsi="Times New Roman" w:cs="Times New Roman"/>
          <w:b/>
          <w:bCs/>
          <w:u w:val="single"/>
        </w:rPr>
      </w:pPr>
      <w:r w:rsidRPr="00884DBB">
        <w:rPr>
          <w:rFonts w:ascii="Times New Roman" w:hAnsi="Times New Roman" w:cs="Times New Roman"/>
          <w:b/>
          <w:bCs/>
          <w:u w:val="single"/>
        </w:rPr>
        <w:t xml:space="preserve">(3) Whether the experience of an applicant constitutes relevant experience shall be determined by the Board. </w:t>
      </w:r>
    </w:p>
    <w:p w14:paraId="0B8A7F88" w14:textId="1FEDDE1B" w:rsidR="001336A0" w:rsidRPr="00884DBB" w:rsidRDefault="001336A0" w:rsidP="00321193">
      <w:pPr>
        <w:shd w:val="clear" w:color="auto" w:fill="FFFFFF" w:themeFill="background1"/>
        <w:spacing w:after="360"/>
        <w:ind w:firstLine="1440"/>
        <w:rPr>
          <w:rFonts w:ascii="Times New Roman" w:hAnsi="Times New Roman" w:cs="Times New Roman"/>
          <w:b/>
          <w:bCs/>
          <w:u w:val="single"/>
        </w:rPr>
      </w:pPr>
      <w:r w:rsidRPr="00884DBB">
        <w:rPr>
          <w:rFonts w:ascii="Times New Roman" w:hAnsi="Times New Roman" w:cs="Times New Roman"/>
          <w:b/>
          <w:bCs/>
          <w:u w:val="single"/>
        </w:rPr>
        <w:t xml:space="preserve">(c) The Mayor, pursuant to Title I of the District of Columbia Administrative Procedure Act, approved October 21, 1968 (82 Stat. 1204; D.C. Official Code § 2-501 </w:t>
      </w:r>
      <w:r w:rsidRPr="00884DBB">
        <w:rPr>
          <w:rFonts w:ascii="Times New Roman" w:hAnsi="Times New Roman" w:cs="Times New Roman"/>
          <w:b/>
          <w:bCs/>
          <w:i/>
          <w:iCs/>
          <w:u w:val="single"/>
        </w:rPr>
        <w:t>et seq.</w:t>
      </w:r>
      <w:r w:rsidRPr="00884DBB">
        <w:rPr>
          <w:rFonts w:ascii="Times New Roman" w:hAnsi="Times New Roman" w:cs="Times New Roman"/>
          <w:b/>
          <w:bCs/>
          <w:u w:val="single"/>
        </w:rPr>
        <w:t>), may</w:t>
      </w:r>
      <w:r w:rsidR="00321193" w:rsidRPr="00884DBB">
        <w:rPr>
          <w:rFonts w:ascii="Times New Roman" w:hAnsi="Times New Roman" w:cs="Times New Roman"/>
          <w:b/>
          <w:bCs/>
          <w:u w:val="single"/>
        </w:rPr>
        <w:t xml:space="preserve"> establish additional licensure requirements by rule to ensure that the applicant has the proper training, experience, and qualifications to practice as a certified public accountant.</w:t>
      </w:r>
    </w:p>
    <w:p w14:paraId="32C61FC1" w14:textId="4EE5F77B" w:rsidR="6C50C59E" w:rsidRPr="00884DBB" w:rsidRDefault="00D57D57" w:rsidP="00707E14">
      <w:pPr>
        <w:ind w:firstLine="720"/>
        <w:rPr>
          <w:rFonts w:ascii="Times New Roman" w:hAnsi="Times New Roman" w:cs="Times New Roman"/>
        </w:rPr>
      </w:pPr>
      <w:r w:rsidRPr="00884DBB">
        <w:rPr>
          <w:rFonts w:ascii="Times New Roman" w:hAnsi="Times New Roman" w:cs="Times New Roman"/>
        </w:rPr>
        <w:t xml:space="preserve">§ 47–2853.49. </w:t>
      </w:r>
      <w:r w:rsidRPr="00884DBB">
        <w:rPr>
          <w:rFonts w:ascii="Times New Roman" w:hAnsi="Times New Roman" w:cs="Times New Roman"/>
          <w:strike/>
        </w:rPr>
        <w:t xml:space="preserve">Substantial equivalency; practice </w:t>
      </w:r>
      <w:proofErr w:type="spellStart"/>
      <w:r w:rsidR="00BA1FAB" w:rsidRPr="00884DBB">
        <w:rPr>
          <w:rFonts w:ascii="Times New Roman" w:hAnsi="Times New Roman" w:cs="Times New Roman"/>
          <w:b/>
          <w:bCs/>
          <w:u w:val="single"/>
        </w:rPr>
        <w:t>Practice</w:t>
      </w:r>
      <w:proofErr w:type="spellEnd"/>
      <w:r w:rsidR="00BA1FAB" w:rsidRPr="00884DBB">
        <w:rPr>
          <w:rFonts w:ascii="Times New Roman" w:hAnsi="Times New Roman" w:cs="Times New Roman"/>
          <w:b/>
          <w:bCs/>
          <w:u w:val="single"/>
        </w:rPr>
        <w:t xml:space="preserve"> </w:t>
      </w:r>
      <w:r w:rsidRPr="00884DBB">
        <w:rPr>
          <w:rFonts w:ascii="Times New Roman" w:hAnsi="Times New Roman" w:cs="Times New Roman"/>
        </w:rPr>
        <w:t>privilege.</w:t>
      </w:r>
    </w:p>
    <w:p w14:paraId="17DBA625" w14:textId="77777777" w:rsidR="00707E14" w:rsidRPr="00884DBB" w:rsidRDefault="00B66D9B" w:rsidP="00707E14">
      <w:pPr>
        <w:ind w:firstLine="720"/>
        <w:rPr>
          <w:rFonts w:ascii="Times New Roman" w:hAnsi="Times New Roman" w:cs="Times New Roman"/>
          <w:strike/>
        </w:rPr>
      </w:pPr>
      <w:r w:rsidRPr="00884DBB">
        <w:rPr>
          <w:rFonts w:ascii="Times New Roman" w:hAnsi="Times New Roman" w:cs="Times New Roman"/>
          <w:strike/>
        </w:rPr>
        <w:t xml:space="preserve">(a) </w:t>
      </w:r>
      <w:r w:rsidR="00EC340E" w:rsidRPr="00884DBB">
        <w:rPr>
          <w:rFonts w:ascii="Times New Roman" w:hAnsi="Times New Roman" w:cs="Times New Roman"/>
          <w:strike/>
        </w:rPr>
        <w:t xml:space="preserve">The Board, or its designee, shall make a determination of whether the education, examination, and experience requirements contained in the statutes and administrative rules of another jurisdiction are comparable to, or exceed, the education, examination, and experience requirements contained in the Uniform Accountancy Act, approved by the NASBA Board of Directors on July 7, 2007 (http://www.nasba.org/862571B900737CED/60C85E6667EE42F58 62573E6004F3E9D/$file/UAA%20Fifth%20Edition%20Final.pdf) (“UAA”) or that an individual certified public </w:t>
      </w:r>
      <w:proofErr w:type="spellStart"/>
      <w:r w:rsidR="00EC340E" w:rsidRPr="00884DBB">
        <w:rPr>
          <w:rFonts w:ascii="Times New Roman" w:hAnsi="Times New Roman" w:cs="Times New Roman"/>
          <w:strike/>
        </w:rPr>
        <w:t>accountant’s</w:t>
      </w:r>
      <w:proofErr w:type="spellEnd"/>
      <w:r w:rsidR="00EC340E" w:rsidRPr="00884DBB">
        <w:rPr>
          <w:rFonts w:ascii="Times New Roman" w:hAnsi="Times New Roman" w:cs="Times New Roman"/>
          <w:strike/>
        </w:rPr>
        <w:t xml:space="preserve"> (“CPA”) education, examination, and experience qualifications are comparable to or exceed the education, examination, and experience requirements contained in the UAA. In making its determination, the Board, or its designee, shall </w:t>
      </w:r>
      <w:proofErr w:type="gramStart"/>
      <w:r w:rsidR="00EC340E" w:rsidRPr="00884DBB">
        <w:rPr>
          <w:rFonts w:ascii="Times New Roman" w:hAnsi="Times New Roman" w:cs="Times New Roman"/>
          <w:strike/>
        </w:rPr>
        <w:t>take into account</w:t>
      </w:r>
      <w:proofErr w:type="gramEnd"/>
      <w:r w:rsidR="00EC340E" w:rsidRPr="00884DBB">
        <w:rPr>
          <w:rFonts w:ascii="Times New Roman" w:hAnsi="Times New Roman" w:cs="Times New Roman"/>
          <w:strike/>
        </w:rPr>
        <w:t xml:space="preserve"> the qualifications without regard to the sequence in which experience, education, or examination requirements were attained.</w:t>
      </w:r>
    </w:p>
    <w:p w14:paraId="305B036F" w14:textId="264F2E35" w:rsidR="00B66D9B" w:rsidRPr="00884DBB" w:rsidRDefault="00707E14" w:rsidP="00707E14">
      <w:pPr>
        <w:ind w:firstLine="720"/>
        <w:rPr>
          <w:rFonts w:ascii="Times New Roman" w:hAnsi="Times New Roman" w:cs="Times New Roman"/>
          <w:b/>
          <w:bCs/>
          <w:strike/>
          <w:u w:val="single"/>
        </w:rPr>
      </w:pPr>
      <w:r w:rsidRPr="00884DBB">
        <w:rPr>
          <w:rFonts w:ascii="Times New Roman" w:hAnsi="Times New Roman" w:cs="Times New Roman"/>
          <w:b/>
          <w:u w:val="single"/>
        </w:rPr>
        <w:t xml:space="preserve">(a) </w:t>
      </w:r>
      <w:r w:rsidR="00B66D9B" w:rsidRPr="00884DBB">
        <w:rPr>
          <w:rFonts w:ascii="Times New Roman" w:hAnsi="Times New Roman" w:cs="Times New Roman"/>
          <w:b/>
          <w:bCs/>
          <w:u w:val="single"/>
        </w:rPr>
        <w:t>An individual whose principal place of business is not in the District shall have all the privileges of a licensee of the District without the need to obtain a license under § 47-2853.42; provided</w:t>
      </w:r>
      <w:r w:rsidR="00E75145" w:rsidRPr="00884DBB">
        <w:rPr>
          <w:rFonts w:ascii="Times New Roman" w:hAnsi="Times New Roman" w:cs="Times New Roman"/>
          <w:b/>
          <w:bCs/>
          <w:u w:val="single"/>
        </w:rPr>
        <w:t>,</w:t>
      </w:r>
      <w:r w:rsidR="00B66D9B" w:rsidRPr="00884DBB">
        <w:rPr>
          <w:rFonts w:ascii="Times New Roman" w:hAnsi="Times New Roman" w:cs="Times New Roman"/>
          <w:b/>
          <w:bCs/>
          <w:u w:val="single"/>
        </w:rPr>
        <w:t xml:space="preserve"> that the individual:</w:t>
      </w:r>
    </w:p>
    <w:p w14:paraId="3825E33A" w14:textId="2C1A3A9A" w:rsidR="00B66D9B" w:rsidRPr="00884DBB" w:rsidRDefault="00B66D9B" w:rsidP="00E67DBD">
      <w:pPr>
        <w:ind w:firstLine="1440"/>
        <w:rPr>
          <w:rFonts w:ascii="Times New Roman" w:hAnsi="Times New Roman" w:cs="Times New Roman"/>
          <w:b/>
          <w:bCs/>
          <w:u w:val="single"/>
        </w:rPr>
      </w:pPr>
      <w:r w:rsidRPr="00884DBB">
        <w:rPr>
          <w:rFonts w:ascii="Times New Roman" w:hAnsi="Times New Roman" w:cs="Times New Roman"/>
          <w:b/>
          <w:bCs/>
          <w:u w:val="single"/>
        </w:rPr>
        <w:lastRenderedPageBreak/>
        <w:t xml:space="preserve">(1) Holds a valid, unrestricted license as a </w:t>
      </w:r>
      <w:r w:rsidR="00E75145" w:rsidRPr="00884DBB">
        <w:rPr>
          <w:rFonts w:ascii="Times New Roman" w:hAnsi="Times New Roman" w:cs="Times New Roman"/>
          <w:b/>
          <w:bCs/>
          <w:u w:val="single"/>
        </w:rPr>
        <w:t>certified public accountant (“</w:t>
      </w:r>
      <w:r w:rsidRPr="00884DBB">
        <w:rPr>
          <w:rFonts w:ascii="Times New Roman" w:hAnsi="Times New Roman" w:cs="Times New Roman"/>
          <w:b/>
          <w:bCs/>
          <w:u w:val="single"/>
        </w:rPr>
        <w:t>CPA</w:t>
      </w:r>
      <w:r w:rsidR="00E75145" w:rsidRPr="00884DBB">
        <w:rPr>
          <w:rFonts w:ascii="Times New Roman" w:hAnsi="Times New Roman" w:cs="Times New Roman"/>
          <w:b/>
          <w:bCs/>
          <w:u w:val="single"/>
        </w:rPr>
        <w:t>”)</w:t>
      </w:r>
      <w:r w:rsidRPr="00884DBB">
        <w:rPr>
          <w:rFonts w:ascii="Times New Roman" w:hAnsi="Times New Roman" w:cs="Times New Roman"/>
          <w:b/>
          <w:bCs/>
          <w:u w:val="single"/>
        </w:rPr>
        <w:t xml:space="preserve"> in good standing issued by</w:t>
      </w:r>
      <w:r w:rsidR="005B2669" w:rsidRPr="00884DBB">
        <w:rPr>
          <w:rFonts w:ascii="Times New Roman" w:hAnsi="Times New Roman" w:cs="Times New Roman"/>
          <w:b/>
          <w:bCs/>
          <w:u w:val="single"/>
        </w:rPr>
        <w:t xml:space="preserve"> </w:t>
      </w:r>
      <w:r w:rsidRPr="00884DBB">
        <w:rPr>
          <w:rFonts w:ascii="Times New Roman" w:hAnsi="Times New Roman" w:cs="Times New Roman"/>
          <w:b/>
          <w:bCs/>
          <w:u w:val="single"/>
        </w:rPr>
        <w:t>another state or territory of the United States; and</w:t>
      </w:r>
    </w:p>
    <w:p w14:paraId="0FBE1A5B" w14:textId="3812DC27" w:rsidR="00B66D9B" w:rsidRPr="00884DBB" w:rsidRDefault="00B66D9B" w:rsidP="00E67DBD">
      <w:pPr>
        <w:ind w:firstLine="1440"/>
        <w:rPr>
          <w:rFonts w:ascii="Times New Roman" w:hAnsi="Times New Roman" w:cs="Times New Roman"/>
          <w:b/>
          <w:bCs/>
          <w:u w:val="single"/>
        </w:rPr>
      </w:pPr>
      <w:r w:rsidRPr="00884DBB">
        <w:rPr>
          <w:rFonts w:ascii="Times New Roman" w:hAnsi="Times New Roman" w:cs="Times New Roman"/>
          <w:b/>
          <w:bCs/>
          <w:u w:val="single"/>
        </w:rPr>
        <w:t>(2) At the time of initial licensure in the other state or territory, the individua</w:t>
      </w:r>
      <w:r w:rsidR="00E67DBD" w:rsidRPr="00884DBB">
        <w:rPr>
          <w:rFonts w:ascii="Times New Roman" w:hAnsi="Times New Roman" w:cs="Times New Roman"/>
          <w:b/>
          <w:bCs/>
          <w:u w:val="single"/>
        </w:rPr>
        <w:t xml:space="preserve">l </w:t>
      </w:r>
      <w:r w:rsidRPr="00884DBB">
        <w:rPr>
          <w:rFonts w:ascii="Times New Roman" w:hAnsi="Times New Roman" w:cs="Times New Roman"/>
          <w:b/>
          <w:bCs/>
          <w:u w:val="single"/>
        </w:rPr>
        <w:t>was required to show evidence of having:</w:t>
      </w:r>
    </w:p>
    <w:p w14:paraId="770ACB87" w14:textId="0D001986" w:rsidR="00B66D9B" w:rsidRPr="00884DBB" w:rsidRDefault="00B66D9B" w:rsidP="00E67DBD">
      <w:pPr>
        <w:ind w:firstLine="2430"/>
        <w:rPr>
          <w:rFonts w:ascii="Times New Roman" w:hAnsi="Times New Roman" w:cs="Times New Roman"/>
          <w:b/>
          <w:bCs/>
          <w:u w:val="single"/>
        </w:rPr>
      </w:pPr>
      <w:r w:rsidRPr="00884DBB">
        <w:rPr>
          <w:rFonts w:ascii="Times New Roman" w:hAnsi="Times New Roman" w:cs="Times New Roman"/>
          <w:b/>
          <w:bCs/>
          <w:u w:val="single"/>
        </w:rPr>
        <w:t xml:space="preserve">(A) Passed the Uniform CPA Examination or another </w:t>
      </w:r>
      <w:r w:rsidR="00D22FBB" w:rsidRPr="00884DBB">
        <w:rPr>
          <w:rFonts w:ascii="Times New Roman" w:hAnsi="Times New Roman" w:cs="Times New Roman"/>
          <w:b/>
          <w:bCs/>
          <w:u w:val="single"/>
        </w:rPr>
        <w:t>CPA</w:t>
      </w:r>
      <w:r w:rsidRPr="00884DBB">
        <w:rPr>
          <w:rFonts w:ascii="Times New Roman" w:hAnsi="Times New Roman" w:cs="Times New Roman"/>
          <w:b/>
          <w:bCs/>
          <w:u w:val="single"/>
        </w:rPr>
        <w:t xml:space="preserve"> examination approved by the Board;</w:t>
      </w:r>
    </w:p>
    <w:p w14:paraId="459FBE89" w14:textId="6A2DA0A1" w:rsidR="00B66D9B" w:rsidRPr="00884DBB" w:rsidRDefault="00B66D9B" w:rsidP="00E67DBD">
      <w:pPr>
        <w:ind w:firstLine="2430"/>
        <w:rPr>
          <w:rFonts w:ascii="Times New Roman" w:hAnsi="Times New Roman" w:cs="Times New Roman"/>
          <w:b/>
          <w:bCs/>
          <w:u w:val="single"/>
        </w:rPr>
      </w:pPr>
      <w:r w:rsidRPr="00884DBB">
        <w:rPr>
          <w:rFonts w:ascii="Times New Roman" w:hAnsi="Times New Roman" w:cs="Times New Roman"/>
          <w:b/>
          <w:bCs/>
          <w:u w:val="single"/>
        </w:rPr>
        <w:t>(B) Satisfied education requirements equivalent to those set forth in § 47-73 2853.42(a)(2); and</w:t>
      </w:r>
    </w:p>
    <w:p w14:paraId="48655A26" w14:textId="758BDBC1" w:rsidR="00EC340E" w:rsidRPr="00884DBB" w:rsidRDefault="00B66D9B" w:rsidP="00E67DBD">
      <w:pPr>
        <w:tabs>
          <w:tab w:val="left" w:pos="2520"/>
        </w:tabs>
        <w:ind w:firstLine="2430"/>
        <w:rPr>
          <w:rFonts w:ascii="Times New Roman" w:hAnsi="Times New Roman" w:cs="Times New Roman"/>
          <w:b/>
          <w:bCs/>
          <w:u w:val="single"/>
        </w:rPr>
      </w:pPr>
      <w:r w:rsidRPr="00884DBB">
        <w:rPr>
          <w:rFonts w:ascii="Times New Roman" w:hAnsi="Times New Roman" w:cs="Times New Roman"/>
          <w:b/>
          <w:bCs/>
          <w:u w:val="single"/>
        </w:rPr>
        <w:t>(C) Satisfied experience requirements equivalent to those set forth in §</w:t>
      </w:r>
      <w:r w:rsidR="00E67DBD" w:rsidRPr="00884DBB">
        <w:rPr>
          <w:rFonts w:ascii="Times New Roman" w:hAnsi="Times New Roman" w:cs="Times New Roman"/>
          <w:b/>
          <w:bCs/>
          <w:u w:val="single"/>
        </w:rPr>
        <w:t xml:space="preserve"> </w:t>
      </w:r>
      <w:r w:rsidRPr="00884DBB">
        <w:rPr>
          <w:rFonts w:ascii="Times New Roman" w:hAnsi="Times New Roman" w:cs="Times New Roman"/>
          <w:b/>
          <w:bCs/>
          <w:u w:val="single"/>
        </w:rPr>
        <w:t>47-2853.42(a)(3)</w:t>
      </w:r>
      <w:r w:rsidR="00EE1665" w:rsidRPr="00884DBB">
        <w:rPr>
          <w:rFonts w:ascii="Times New Roman" w:hAnsi="Times New Roman" w:cs="Times New Roman"/>
          <w:b/>
          <w:bCs/>
          <w:u w:val="single"/>
        </w:rPr>
        <w:t>.</w:t>
      </w:r>
    </w:p>
    <w:p w14:paraId="0527767C" w14:textId="402BFEC2" w:rsidR="00EC340E" w:rsidRPr="00884DBB" w:rsidRDefault="00EC340E" w:rsidP="00B63AC4">
      <w:pPr>
        <w:ind w:firstLine="630"/>
        <w:rPr>
          <w:rFonts w:ascii="Times New Roman" w:hAnsi="Times New Roman" w:cs="Times New Roman"/>
        </w:rPr>
      </w:pPr>
      <w:r w:rsidRPr="00884DBB">
        <w:rPr>
          <w:rFonts w:ascii="Times New Roman" w:hAnsi="Times New Roman" w:cs="Times New Roman"/>
        </w:rPr>
        <w:t>(b) An individual whose principal place of business is not in the District</w:t>
      </w:r>
      <w:r w:rsidR="005A01AE" w:rsidRPr="00884DBB">
        <w:rPr>
          <w:rFonts w:ascii="Times New Roman" w:hAnsi="Times New Roman" w:cs="Times New Roman"/>
        </w:rPr>
        <w:t>,</w:t>
      </w:r>
      <w:r w:rsidR="0036227C" w:rsidRPr="00884DBB">
        <w:rPr>
          <w:rFonts w:ascii="Times New Roman" w:hAnsi="Times New Roman" w:cs="Times New Roman"/>
        </w:rPr>
        <w:t xml:space="preserve"> </w:t>
      </w:r>
      <w:r w:rsidR="0036227C" w:rsidRPr="00884DBB">
        <w:rPr>
          <w:rFonts w:ascii="Times New Roman" w:hAnsi="Times New Roman" w:cs="Times New Roman"/>
          <w:b/>
          <w:u w:val="single"/>
        </w:rPr>
        <w:t xml:space="preserve">who </w:t>
      </w:r>
      <w:r w:rsidR="005A01AE" w:rsidRPr="00884DBB">
        <w:rPr>
          <w:rFonts w:ascii="Times New Roman" w:hAnsi="Times New Roman" w:cs="Times New Roman"/>
          <w:b/>
          <w:bCs/>
          <w:u w:val="single"/>
        </w:rPr>
        <w:t xml:space="preserve">is licensed as a CPA in good standing in another state or territory of the United States, and </w:t>
      </w:r>
      <w:r w:rsidR="0036227C" w:rsidRPr="00884DBB">
        <w:rPr>
          <w:rFonts w:ascii="Times New Roman" w:hAnsi="Times New Roman" w:cs="Times New Roman"/>
          <w:b/>
          <w:bCs/>
          <w:u w:val="single"/>
        </w:rPr>
        <w:t xml:space="preserve">who </w:t>
      </w:r>
      <w:r w:rsidR="005A01AE" w:rsidRPr="00884DBB">
        <w:rPr>
          <w:rFonts w:ascii="Times New Roman" w:hAnsi="Times New Roman" w:cs="Times New Roman"/>
          <w:b/>
          <w:bCs/>
          <w:u w:val="single"/>
        </w:rPr>
        <w:t>had practice privileges in the District under the version of this section that was in effect immediately prior to the effective date of the Accountancy Practice Amendment Act of 2025</w:t>
      </w:r>
      <w:r w:rsidR="002065A7" w:rsidRPr="00884DBB">
        <w:rPr>
          <w:rFonts w:ascii="Times New Roman" w:hAnsi="Times New Roman" w:cs="Times New Roman"/>
          <w:b/>
          <w:bCs/>
          <w:u w:val="single"/>
        </w:rPr>
        <w:t>,</w:t>
      </w:r>
      <w:r w:rsidR="005A01AE" w:rsidRPr="00884DBB">
        <w:rPr>
          <w:rFonts w:ascii="Times New Roman" w:hAnsi="Times New Roman" w:cs="Times New Roman"/>
        </w:rPr>
        <w:t xml:space="preserve"> </w:t>
      </w:r>
      <w:r w:rsidRPr="00884DBB">
        <w:rPr>
          <w:rFonts w:ascii="Times New Roman" w:hAnsi="Times New Roman" w:cs="Times New Roman"/>
          <w:strike/>
        </w:rPr>
        <w:t>shall be presumed to have qualifications substantially equivalent to the District’s qualifications and</w:t>
      </w:r>
      <w:r w:rsidRPr="00884DBB">
        <w:rPr>
          <w:rFonts w:ascii="Times New Roman" w:hAnsi="Times New Roman" w:cs="Times New Roman"/>
        </w:rPr>
        <w:t xml:space="preserve"> shall </w:t>
      </w:r>
      <w:r w:rsidR="00A13705" w:rsidRPr="00884DBB">
        <w:rPr>
          <w:rFonts w:ascii="Times New Roman" w:hAnsi="Times New Roman" w:cs="Times New Roman"/>
          <w:b/>
          <w:bCs/>
          <w:u w:val="single"/>
        </w:rPr>
        <w:t xml:space="preserve">continue to </w:t>
      </w:r>
      <w:r w:rsidRPr="00884DBB">
        <w:rPr>
          <w:rFonts w:ascii="Times New Roman" w:hAnsi="Times New Roman" w:cs="Times New Roman"/>
        </w:rPr>
        <w:t>have all the privileges of licensees of the District without the need to obtain a license under § 47-2853.42</w:t>
      </w:r>
      <w:r w:rsidR="00B63AC4" w:rsidRPr="00884DBB">
        <w:rPr>
          <w:rFonts w:ascii="Times New Roman" w:hAnsi="Times New Roman" w:cs="Times New Roman"/>
        </w:rPr>
        <w:t xml:space="preserve"> </w:t>
      </w:r>
      <w:r w:rsidR="00B63AC4" w:rsidRPr="00884DBB">
        <w:rPr>
          <w:rFonts w:ascii="Times New Roman" w:hAnsi="Times New Roman" w:cs="Times New Roman"/>
          <w:b/>
          <w:bCs/>
          <w:u w:val="single"/>
        </w:rPr>
        <w:t xml:space="preserve">regardless of whether the individual meets the requirements of this section on the effective date of </w:t>
      </w:r>
      <w:r w:rsidR="00902682" w:rsidRPr="00884DBB">
        <w:rPr>
          <w:rFonts w:ascii="Times New Roman" w:hAnsi="Times New Roman" w:cs="Times New Roman"/>
          <w:b/>
          <w:bCs/>
          <w:u w:val="single"/>
        </w:rPr>
        <w:t>such legislation</w:t>
      </w:r>
      <w:r w:rsidR="00B63AC4" w:rsidRPr="00884DBB">
        <w:rPr>
          <w:rFonts w:ascii="Times New Roman" w:hAnsi="Times New Roman" w:cs="Times New Roman"/>
          <w:b/>
          <w:bCs/>
          <w:u w:val="single"/>
        </w:rPr>
        <w:t>.</w:t>
      </w:r>
      <w:r w:rsidRPr="00884DBB">
        <w:rPr>
          <w:rFonts w:ascii="Times New Roman" w:hAnsi="Times New Roman" w:cs="Times New Roman"/>
          <w:b/>
          <w:bCs/>
          <w:u w:val="single"/>
        </w:rPr>
        <w:t xml:space="preserve"> </w:t>
      </w:r>
      <w:r w:rsidRPr="00884DBB">
        <w:rPr>
          <w:rFonts w:ascii="Times New Roman" w:hAnsi="Times New Roman" w:cs="Times New Roman"/>
          <w:strike/>
        </w:rPr>
        <w:t>if:</w:t>
      </w:r>
    </w:p>
    <w:p w14:paraId="520E36F0" w14:textId="6E7C6AB4" w:rsidR="00EC340E" w:rsidRPr="00884DBB" w:rsidRDefault="00EC340E" w:rsidP="002863E1">
      <w:pPr>
        <w:ind w:firstLine="1440"/>
        <w:rPr>
          <w:rFonts w:ascii="Times New Roman" w:hAnsi="Times New Roman" w:cs="Times New Roman"/>
          <w:strike/>
        </w:rPr>
      </w:pPr>
      <w:r w:rsidRPr="00884DBB">
        <w:rPr>
          <w:rFonts w:ascii="Times New Roman" w:hAnsi="Times New Roman" w:cs="Times New Roman"/>
          <w:strike/>
        </w:rPr>
        <w:t>(1) The individual holds a valid, unrestricted license as a CPA from any state that the NASBA National Qualification Appraisal Service has verified to be in substantial equivalence with the CPA licensure requirements of the AICPA/NASBA Uniform Accountancy; or</w:t>
      </w:r>
    </w:p>
    <w:p w14:paraId="709F6829" w14:textId="30BF10D7" w:rsidR="00EC340E" w:rsidRPr="00884DBB" w:rsidRDefault="00EC340E" w:rsidP="002863E1">
      <w:pPr>
        <w:ind w:firstLine="1440"/>
        <w:rPr>
          <w:rFonts w:ascii="Times New Roman" w:hAnsi="Times New Roman" w:cs="Times New Roman"/>
          <w:strike/>
        </w:rPr>
      </w:pPr>
      <w:r w:rsidRPr="00884DBB">
        <w:rPr>
          <w:rFonts w:ascii="Times New Roman" w:hAnsi="Times New Roman" w:cs="Times New Roman"/>
          <w:strike/>
        </w:rPr>
        <w:t>(2) The individual holds a valid license as a CPA from any state that the NASBA National Qualification Appraisal Service has not verified to be in substantial equivalence with the CPA licensure requirements of the UAA, but the individual has obtained from the NASBA National Qualification Appraisal Service verification that the individual’s CPA qualifications are substantially equivalent to the CPA licensure requirements of the UAA. Any individual who passed the Uniform CPA Examination and holds a valid license issued by any state prior to January 1, 2012, may be exempted by the Board from the education requirement in section 5(c)(2) of the UAA for purposes of this section.</w:t>
      </w:r>
    </w:p>
    <w:p w14:paraId="7A65CD01" w14:textId="0C7CA998" w:rsidR="00EC340E" w:rsidRPr="00884DBB" w:rsidRDefault="00EC340E" w:rsidP="008D53C5">
      <w:pPr>
        <w:ind w:firstLine="720"/>
        <w:rPr>
          <w:rFonts w:ascii="Times New Roman" w:hAnsi="Times New Roman" w:cs="Times New Roman"/>
        </w:rPr>
      </w:pPr>
      <w:r w:rsidRPr="00884DBB">
        <w:rPr>
          <w:rFonts w:ascii="Times New Roman" w:hAnsi="Times New Roman" w:cs="Times New Roman"/>
        </w:rPr>
        <w:t>(c) Except as provided in this part, an individual granted practice privileges under this section, who offers or renders professional services, whether in person or by mail, telephone, or electronic means pursuant to this part, need not provide notice or other submission to any individual.</w:t>
      </w:r>
    </w:p>
    <w:p w14:paraId="145097D4" w14:textId="6656F768" w:rsidR="00EC340E" w:rsidRPr="00884DBB" w:rsidRDefault="00EC340E" w:rsidP="00491568">
      <w:pPr>
        <w:ind w:firstLine="720"/>
        <w:rPr>
          <w:rFonts w:ascii="Times New Roman" w:hAnsi="Times New Roman" w:cs="Times New Roman"/>
        </w:rPr>
      </w:pPr>
      <w:r w:rsidRPr="00884DBB">
        <w:rPr>
          <w:rFonts w:ascii="Times New Roman" w:hAnsi="Times New Roman" w:cs="Times New Roman"/>
        </w:rPr>
        <w:t xml:space="preserve">(d) An individual licensee of another state exercising the privilege afforded under this section and the firm that employs the licensee </w:t>
      </w:r>
      <w:r w:rsidRPr="00884DBB">
        <w:rPr>
          <w:rFonts w:ascii="Times New Roman" w:hAnsi="Times New Roman" w:cs="Times New Roman"/>
          <w:strike/>
        </w:rPr>
        <w:t xml:space="preserve">shall simultaneously consent, as a condition of the </w:t>
      </w:r>
      <w:r w:rsidRPr="00884DBB">
        <w:rPr>
          <w:rFonts w:ascii="Times New Roman" w:hAnsi="Times New Roman" w:cs="Times New Roman"/>
          <w:strike/>
        </w:rPr>
        <w:lastRenderedPageBreak/>
        <w:t>grant of the privilege</w:t>
      </w:r>
      <w:r w:rsidR="00491568" w:rsidRPr="00884DBB">
        <w:rPr>
          <w:rFonts w:ascii="Times New Roman" w:hAnsi="Times New Roman" w:cs="Times New Roman"/>
          <w:strike/>
        </w:rPr>
        <w:t>,</w:t>
      </w:r>
      <w:r w:rsidR="00491568" w:rsidRPr="00884DBB">
        <w:rPr>
          <w:rFonts w:ascii="Times New Roman" w:hAnsi="Times New Roman" w:cs="Times New Roman"/>
        </w:rPr>
        <w:t xml:space="preserve"> </w:t>
      </w:r>
      <w:r w:rsidR="00491568" w:rsidRPr="00884DBB">
        <w:rPr>
          <w:rFonts w:ascii="Times New Roman" w:hAnsi="Times New Roman" w:cs="Times New Roman"/>
          <w:b/>
          <w:bCs/>
          <w:u w:val="single"/>
        </w:rPr>
        <w:t>shall be deemed to have simultaneously consented, as a condition of the exercise of the privilege</w:t>
      </w:r>
      <w:r w:rsidR="0074753A" w:rsidRPr="00884DBB">
        <w:rPr>
          <w:rFonts w:ascii="Times New Roman" w:hAnsi="Times New Roman" w:cs="Times New Roman"/>
          <w:b/>
          <w:bCs/>
          <w:u w:val="single"/>
        </w:rPr>
        <w:t>,</w:t>
      </w:r>
      <w:r w:rsidRPr="00884DBB">
        <w:rPr>
          <w:rFonts w:ascii="Times New Roman" w:hAnsi="Times New Roman" w:cs="Times New Roman"/>
        </w:rPr>
        <w:t xml:space="preserve"> to the following:</w:t>
      </w:r>
    </w:p>
    <w:p w14:paraId="335C91F8" w14:textId="359DFF28" w:rsidR="00EC340E" w:rsidRPr="00884DBB" w:rsidRDefault="00EC340E" w:rsidP="00491568">
      <w:pPr>
        <w:ind w:firstLine="1440"/>
        <w:rPr>
          <w:rFonts w:ascii="Times New Roman" w:hAnsi="Times New Roman" w:cs="Times New Roman"/>
        </w:rPr>
      </w:pPr>
      <w:r w:rsidRPr="00884DBB">
        <w:rPr>
          <w:rFonts w:ascii="Times New Roman" w:hAnsi="Times New Roman" w:cs="Times New Roman"/>
        </w:rPr>
        <w:t>(1) The personal and subject matter jurisdiction and disciplinary authority of the Board;</w:t>
      </w:r>
    </w:p>
    <w:p w14:paraId="3EE53C66" w14:textId="4C4C991E" w:rsidR="00EC340E" w:rsidRPr="00884DBB" w:rsidRDefault="00EC340E" w:rsidP="00491568">
      <w:pPr>
        <w:ind w:firstLine="1440"/>
        <w:rPr>
          <w:rFonts w:ascii="Times New Roman" w:hAnsi="Times New Roman" w:cs="Times New Roman"/>
        </w:rPr>
      </w:pPr>
      <w:r w:rsidRPr="00884DBB">
        <w:rPr>
          <w:rFonts w:ascii="Times New Roman" w:hAnsi="Times New Roman" w:cs="Times New Roman"/>
        </w:rPr>
        <w:t>(2) Compliance with this part, the generally applicable provisions of this subchapter, and the Board’s rules;</w:t>
      </w:r>
    </w:p>
    <w:p w14:paraId="7B4AE6F3" w14:textId="77777777" w:rsidR="00EC340E" w:rsidRPr="00884DBB" w:rsidRDefault="00EC340E" w:rsidP="00491568">
      <w:pPr>
        <w:ind w:firstLine="1440"/>
        <w:rPr>
          <w:rFonts w:ascii="Times New Roman" w:hAnsi="Times New Roman" w:cs="Times New Roman"/>
        </w:rPr>
      </w:pPr>
      <w:r w:rsidRPr="00884DBB">
        <w:rPr>
          <w:rFonts w:ascii="Times New Roman" w:hAnsi="Times New Roman" w:cs="Times New Roman"/>
        </w:rPr>
        <w:t>(3) In the event the license from the state of the individual’s principal place of business is no longer valid, the cessation of the offering or rendering of professional services in the District, individually and on behalf of a firm; and</w:t>
      </w:r>
    </w:p>
    <w:p w14:paraId="7684C1B8" w14:textId="29A12F52" w:rsidR="00EC340E" w:rsidRPr="00884DBB" w:rsidRDefault="00EC340E" w:rsidP="00464D48">
      <w:pPr>
        <w:ind w:firstLine="1440"/>
        <w:rPr>
          <w:rFonts w:ascii="Times New Roman" w:hAnsi="Times New Roman" w:cs="Times New Roman"/>
        </w:rPr>
      </w:pPr>
      <w:r w:rsidRPr="00884DBB">
        <w:rPr>
          <w:rFonts w:ascii="Times New Roman" w:hAnsi="Times New Roman" w:cs="Times New Roman"/>
        </w:rPr>
        <w:t>(4) The appointment of the state board that issued the license as the licensee’s agent upon whom process may be served in any action or proceeding by the Board against the licensee.</w:t>
      </w:r>
    </w:p>
    <w:p w14:paraId="0CE69EAA" w14:textId="7A0B4065" w:rsidR="00EC340E" w:rsidRPr="00884DBB" w:rsidRDefault="00EC340E" w:rsidP="00464D48">
      <w:pPr>
        <w:ind w:firstLine="720"/>
        <w:rPr>
          <w:rFonts w:ascii="Times New Roman" w:hAnsi="Times New Roman" w:cs="Times New Roman"/>
        </w:rPr>
      </w:pPr>
      <w:r w:rsidRPr="00884DBB">
        <w:rPr>
          <w:rFonts w:ascii="Times New Roman" w:hAnsi="Times New Roman" w:cs="Times New Roman"/>
        </w:rPr>
        <w:t xml:space="preserve">(e) An individual who has been granted practice privileges under this section, who performs any of the services listed </w:t>
      </w:r>
      <w:proofErr w:type="gramStart"/>
      <w:r w:rsidRPr="00884DBB">
        <w:rPr>
          <w:rFonts w:ascii="Times New Roman" w:hAnsi="Times New Roman" w:cs="Times New Roman"/>
        </w:rPr>
        <w:t>in § 47-</w:t>
      </w:r>
      <w:proofErr w:type="gramEnd"/>
      <w:r w:rsidRPr="00884DBB">
        <w:rPr>
          <w:rFonts w:ascii="Times New Roman" w:hAnsi="Times New Roman" w:cs="Times New Roman"/>
        </w:rPr>
        <w:t>2853.41(1) and who performs the services for an entity with its home office in the District may only perform the services through a firm that has obtained a registration under § 47-2853.44.</w:t>
      </w:r>
    </w:p>
    <w:p w14:paraId="67E45BC5" w14:textId="25CF8302" w:rsidR="00EC340E" w:rsidRPr="00884DBB" w:rsidRDefault="00EC340E" w:rsidP="00464D48">
      <w:pPr>
        <w:ind w:firstLine="720"/>
        <w:rPr>
          <w:rFonts w:ascii="Times New Roman" w:hAnsi="Times New Roman" w:cs="Times New Roman"/>
        </w:rPr>
      </w:pPr>
      <w:r w:rsidRPr="00884DBB">
        <w:rPr>
          <w:rFonts w:ascii="Times New Roman" w:hAnsi="Times New Roman" w:cs="Times New Roman"/>
        </w:rPr>
        <w:t>(f) An individual who has been granted practice privileges under this section and who performs services for which a firm registration is required under subsection (e) of this section shall not be required to obtain a license under § 47-2853.42.</w:t>
      </w:r>
    </w:p>
    <w:p w14:paraId="6C789510" w14:textId="3EA17D77" w:rsidR="00EC340E" w:rsidRPr="00884DBB" w:rsidRDefault="00EC340E" w:rsidP="00464D48">
      <w:pPr>
        <w:ind w:firstLine="720"/>
        <w:rPr>
          <w:rFonts w:ascii="Times New Roman" w:hAnsi="Times New Roman" w:cs="Times New Roman"/>
        </w:rPr>
      </w:pPr>
      <w:r w:rsidRPr="00884DBB">
        <w:rPr>
          <w:rFonts w:ascii="Times New Roman" w:hAnsi="Times New Roman" w:cs="Times New Roman"/>
        </w:rPr>
        <w:t>(g) A licensee of the District offering or rendering services or using their CPA title in a state shall be subject to disciplinary action in the District for an act committed in the state for which the licensee would be subject to discipline for the act committed in the state. The Board shall investigate any complaint made by a board of accountancy of a state.</w:t>
      </w:r>
    </w:p>
    <w:p w14:paraId="165667FC" w14:textId="7E22666A" w:rsidR="0A9B97E9" w:rsidRPr="00884DBB" w:rsidRDefault="0A9B97E9">
      <w:pPr>
        <w:rPr>
          <w:rFonts w:ascii="Times New Roman" w:hAnsi="Times New Roman" w:cs="Times New Roman"/>
        </w:rPr>
      </w:pPr>
    </w:p>
    <w:sectPr w:rsidR="0A9B97E9" w:rsidRPr="00884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71EC" w14:textId="77777777" w:rsidR="00E26815" w:rsidRDefault="00E26815">
      <w:pPr>
        <w:spacing w:after="0" w:line="240" w:lineRule="auto"/>
      </w:pPr>
      <w:r>
        <w:separator/>
      </w:r>
    </w:p>
  </w:endnote>
  <w:endnote w:type="continuationSeparator" w:id="0">
    <w:p w14:paraId="533FA1D2" w14:textId="77777777" w:rsidR="00E26815" w:rsidRDefault="00E2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8A0B" w14:textId="77777777" w:rsidR="00E26815" w:rsidRDefault="00E26815">
      <w:pPr>
        <w:spacing w:after="0" w:line="240" w:lineRule="auto"/>
      </w:pPr>
      <w:r>
        <w:separator/>
      </w:r>
    </w:p>
  </w:footnote>
  <w:footnote w:type="continuationSeparator" w:id="0">
    <w:p w14:paraId="26B90C71" w14:textId="77777777" w:rsidR="00E26815" w:rsidRDefault="00E26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457BF"/>
    <w:multiLevelType w:val="hybridMultilevel"/>
    <w:tmpl w:val="B0260D6A"/>
    <w:lvl w:ilvl="0" w:tplc="FF4E0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73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C11C2"/>
    <w:rsid w:val="0001692B"/>
    <w:rsid w:val="00030584"/>
    <w:rsid w:val="0004615A"/>
    <w:rsid w:val="00065EA2"/>
    <w:rsid w:val="00071A4A"/>
    <w:rsid w:val="00087892"/>
    <w:rsid w:val="001336A0"/>
    <w:rsid w:val="001545DD"/>
    <w:rsid w:val="00183DB5"/>
    <w:rsid w:val="001C14CA"/>
    <w:rsid w:val="001C1F0F"/>
    <w:rsid w:val="001C6F62"/>
    <w:rsid w:val="002065A7"/>
    <w:rsid w:val="002863E1"/>
    <w:rsid w:val="002C334F"/>
    <w:rsid w:val="002C7753"/>
    <w:rsid w:val="00321193"/>
    <w:rsid w:val="0036227C"/>
    <w:rsid w:val="003C3437"/>
    <w:rsid w:val="003C5EF3"/>
    <w:rsid w:val="003C60CF"/>
    <w:rsid w:val="00407982"/>
    <w:rsid w:val="004615BB"/>
    <w:rsid w:val="00464D48"/>
    <w:rsid w:val="00491568"/>
    <w:rsid w:val="00524870"/>
    <w:rsid w:val="005267B2"/>
    <w:rsid w:val="005A01AE"/>
    <w:rsid w:val="005B2669"/>
    <w:rsid w:val="005B52FE"/>
    <w:rsid w:val="006A6711"/>
    <w:rsid w:val="006C7205"/>
    <w:rsid w:val="006D0F7C"/>
    <w:rsid w:val="00707E14"/>
    <w:rsid w:val="007256D8"/>
    <w:rsid w:val="0074753A"/>
    <w:rsid w:val="00773A0E"/>
    <w:rsid w:val="007B7278"/>
    <w:rsid w:val="007E4855"/>
    <w:rsid w:val="00805963"/>
    <w:rsid w:val="00884DBB"/>
    <w:rsid w:val="00893E81"/>
    <w:rsid w:val="008975D0"/>
    <w:rsid w:val="008D53C5"/>
    <w:rsid w:val="00902682"/>
    <w:rsid w:val="009318C9"/>
    <w:rsid w:val="00A01251"/>
    <w:rsid w:val="00A13705"/>
    <w:rsid w:val="00A60BF3"/>
    <w:rsid w:val="00A61ECC"/>
    <w:rsid w:val="00AA7232"/>
    <w:rsid w:val="00B63AC4"/>
    <w:rsid w:val="00B6469A"/>
    <w:rsid w:val="00B66D9B"/>
    <w:rsid w:val="00BA1FAB"/>
    <w:rsid w:val="00BF0BF9"/>
    <w:rsid w:val="00C0501A"/>
    <w:rsid w:val="00C40CD3"/>
    <w:rsid w:val="00C770C4"/>
    <w:rsid w:val="00CE10A0"/>
    <w:rsid w:val="00CF44DC"/>
    <w:rsid w:val="00D06066"/>
    <w:rsid w:val="00D22FBB"/>
    <w:rsid w:val="00D57D57"/>
    <w:rsid w:val="00D821E1"/>
    <w:rsid w:val="00E26815"/>
    <w:rsid w:val="00E55C02"/>
    <w:rsid w:val="00E67DBD"/>
    <w:rsid w:val="00E75145"/>
    <w:rsid w:val="00EA2A08"/>
    <w:rsid w:val="00EC340E"/>
    <w:rsid w:val="00EC513A"/>
    <w:rsid w:val="00EE1665"/>
    <w:rsid w:val="00F2228D"/>
    <w:rsid w:val="00F717DB"/>
    <w:rsid w:val="00FD7CA5"/>
    <w:rsid w:val="0A9B97E9"/>
    <w:rsid w:val="2B8DBE9A"/>
    <w:rsid w:val="3F4AF9B9"/>
    <w:rsid w:val="51CC11C2"/>
    <w:rsid w:val="6C50C59E"/>
    <w:rsid w:val="74FA7488"/>
    <w:rsid w:val="778575B1"/>
    <w:rsid w:val="7EAFB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6732"/>
  <w15:chartTrackingRefBased/>
  <w15:docId w15:val="{D448D70F-B474-4268-A2BD-3964F777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7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D57D57"/>
    <w:rPr>
      <w:rFonts w:ascii="Times New Roman" w:eastAsia="Times New Roman" w:hAnsi="Times New Roman" w:cs="Times New Roman"/>
      <w:b/>
      <w:bCs/>
      <w:kern w:val="36"/>
      <w:sz w:val="48"/>
      <w:szCs w:val="48"/>
      <w:lang w:eastAsia="en-US"/>
    </w:rPr>
  </w:style>
  <w:style w:type="paragraph" w:styleId="ListParagraph">
    <w:name w:val="List Paragraph"/>
    <w:basedOn w:val="Normal"/>
    <w:uiPriority w:val="34"/>
    <w:qFormat/>
    <w:rsid w:val="00B6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a1144-1a6c-432e-a2cf-68d3d6ffa39b">
      <Terms xmlns="http://schemas.microsoft.com/office/infopath/2007/PartnerControls"/>
    </lcf76f155ced4ddcb4097134ff3c332f>
    <TaxCatchAll xmlns="7abd0f8f-837a-4660-8708-de7759ce4e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C69D7-65D1-4CBC-92F7-6D3C3A39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79515-328E-47AC-BE69-38264D720267}">
  <ds:schemaRefs>
    <ds:schemaRef ds:uri="http://schemas.microsoft.com/office/2006/metadata/properties"/>
    <ds:schemaRef ds:uri="http://schemas.microsoft.com/office/infopath/2007/PartnerControls"/>
    <ds:schemaRef ds:uri="07aa1144-1a6c-432e-a2cf-68d3d6ffa39b"/>
    <ds:schemaRef ds:uri="7abd0f8f-837a-4660-8708-de7759ce4e29"/>
  </ds:schemaRefs>
</ds:datastoreItem>
</file>

<file path=customXml/itemProps3.xml><?xml version="1.0" encoding="utf-8"?>
<ds:datastoreItem xmlns:ds="http://schemas.openxmlformats.org/officeDocument/2006/customXml" ds:itemID="{F5A4F750-3B73-4837-8491-96647A4D4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Boshart, Abigail (Council)</dc:creator>
  <cp:keywords/>
  <dc:description/>
  <cp:lastModifiedBy>Cuddihy, Sean (Council)</cp:lastModifiedBy>
  <cp:revision>29</cp:revision>
  <dcterms:created xsi:type="dcterms:W3CDTF">2026-05-21T14:26:00Z</dcterms:created>
  <dcterms:modified xsi:type="dcterms:W3CDTF">2026-06-19T15:28:00Z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