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99B5" w14:textId="773F44B9" w:rsidR="001A03B7" w:rsidRDefault="00520193" w:rsidP="00A06950">
      <w:pPr>
        <w:rPr>
          <w:b/>
          <w:bCs/>
        </w:rPr>
      </w:pPr>
      <w:r>
        <w:rPr>
          <w:b/>
          <w:bCs/>
        </w:rPr>
        <w:t>Committee Print</w:t>
      </w:r>
    </w:p>
    <w:p w14:paraId="46DC3867" w14:textId="70F78869" w:rsidR="00520193" w:rsidRDefault="00520193" w:rsidP="00A06950">
      <w:pPr>
        <w:rPr>
          <w:b/>
          <w:bCs/>
        </w:rPr>
      </w:pPr>
      <w:r>
        <w:rPr>
          <w:b/>
          <w:bCs/>
        </w:rPr>
        <w:t>Committee on Public Works and Operations</w:t>
      </w:r>
    </w:p>
    <w:p w14:paraId="32E1CFF9" w14:textId="59D0E97F" w:rsidR="00520193" w:rsidRDefault="00520193" w:rsidP="00A06950">
      <w:pPr>
        <w:rPr>
          <w:b/>
          <w:bCs/>
        </w:rPr>
      </w:pPr>
      <w:r>
        <w:rPr>
          <w:b/>
          <w:bCs/>
        </w:rPr>
        <w:t>B26-494</w:t>
      </w:r>
    </w:p>
    <w:p w14:paraId="49CF33C9" w14:textId="2654218E" w:rsidR="00520193" w:rsidRPr="00520193" w:rsidRDefault="00520193" w:rsidP="00A06950">
      <w:pPr>
        <w:rPr>
          <w:b/>
          <w:bCs/>
        </w:rPr>
      </w:pPr>
      <w:r>
        <w:rPr>
          <w:b/>
          <w:bCs/>
        </w:rPr>
        <w:t>June 22, 2026</w:t>
      </w:r>
    </w:p>
    <w:p w14:paraId="546D8B5F" w14:textId="77777777" w:rsidR="001A03B7" w:rsidRDefault="001A03B7" w:rsidP="007A26EC">
      <w:pPr>
        <w:ind w:left="0" w:firstLine="0"/>
        <w:jc w:val="center"/>
      </w:pPr>
    </w:p>
    <w:p w14:paraId="0AD58458" w14:textId="77777777" w:rsidR="00335AF4" w:rsidRPr="001A03B7" w:rsidRDefault="00335AF4" w:rsidP="007A26EC">
      <w:pPr>
        <w:ind w:left="0" w:firstLine="0"/>
        <w:jc w:val="center"/>
      </w:pPr>
    </w:p>
    <w:p w14:paraId="09889475" w14:textId="77777777" w:rsidR="001A03B7" w:rsidRPr="001A03B7" w:rsidRDefault="001A03B7" w:rsidP="007A26EC">
      <w:pPr>
        <w:ind w:left="0" w:firstLine="0"/>
        <w:jc w:val="center"/>
      </w:pPr>
    </w:p>
    <w:p w14:paraId="57B3F0EB" w14:textId="77777777" w:rsidR="001A03B7" w:rsidRPr="001A03B7" w:rsidRDefault="001A03B7" w:rsidP="007A26EC">
      <w:pPr>
        <w:ind w:left="0" w:firstLine="0"/>
        <w:jc w:val="center"/>
      </w:pPr>
      <w:r w:rsidRPr="001A03B7">
        <w:t>A BILL</w:t>
      </w:r>
    </w:p>
    <w:p w14:paraId="2D2E4BDA" w14:textId="77777777" w:rsidR="001A03B7" w:rsidRPr="001A03B7" w:rsidRDefault="001A03B7" w:rsidP="007A26EC">
      <w:pPr>
        <w:ind w:left="0" w:firstLine="0"/>
        <w:jc w:val="center"/>
      </w:pPr>
    </w:p>
    <w:p w14:paraId="6420B3EC" w14:textId="77777777" w:rsidR="001A03B7" w:rsidRPr="001A03B7" w:rsidRDefault="001A03B7" w:rsidP="007A26EC">
      <w:pPr>
        <w:ind w:left="0" w:firstLine="0"/>
        <w:jc w:val="center"/>
      </w:pPr>
      <w:r w:rsidRPr="001A03B7">
        <w:t>_________________________</w:t>
      </w:r>
    </w:p>
    <w:p w14:paraId="55A35ABF" w14:textId="77777777" w:rsidR="001A03B7" w:rsidRPr="001A03B7" w:rsidRDefault="001A03B7" w:rsidP="007A26EC">
      <w:pPr>
        <w:ind w:left="0" w:firstLine="0"/>
        <w:jc w:val="center"/>
      </w:pPr>
    </w:p>
    <w:p w14:paraId="76DD2E72" w14:textId="77777777" w:rsidR="001A03B7" w:rsidRPr="001A03B7" w:rsidRDefault="001A03B7" w:rsidP="007A26EC">
      <w:pPr>
        <w:ind w:left="0" w:firstLine="0"/>
        <w:jc w:val="center"/>
      </w:pPr>
      <w:r w:rsidRPr="001A03B7">
        <w:t>IN THE COUNCIL OF THE DISTRICT OF COLUMBIA</w:t>
      </w:r>
    </w:p>
    <w:p w14:paraId="1E4BBC2F" w14:textId="77777777" w:rsidR="001A03B7" w:rsidRPr="001A03B7" w:rsidRDefault="001A03B7" w:rsidP="007A26EC">
      <w:pPr>
        <w:ind w:left="0" w:firstLine="0"/>
        <w:jc w:val="center"/>
      </w:pPr>
    </w:p>
    <w:p w14:paraId="5A7F18C9" w14:textId="77777777" w:rsidR="001A03B7" w:rsidRPr="001A03B7" w:rsidRDefault="001A03B7" w:rsidP="007A26EC">
      <w:pPr>
        <w:ind w:left="0" w:firstLine="0"/>
        <w:jc w:val="center"/>
      </w:pPr>
      <w:r w:rsidRPr="001A03B7">
        <w:t>_________________________</w:t>
      </w:r>
    </w:p>
    <w:p w14:paraId="26D385CF" w14:textId="77777777" w:rsidR="001A03B7" w:rsidRPr="001A03B7" w:rsidRDefault="001A03B7" w:rsidP="007A26EC">
      <w:pPr>
        <w:ind w:left="0" w:firstLine="0"/>
      </w:pPr>
    </w:p>
    <w:p w14:paraId="394A0968" w14:textId="3EDE25BA" w:rsidR="005D2B5A" w:rsidRDefault="005D2B5A" w:rsidP="005D2B5A">
      <w:pPr>
        <w:ind w:left="810" w:hanging="810"/>
      </w:pPr>
      <w:r>
        <w:t>To amend Chapter 28 of Title 47 of the District of Columbia Official Code to revise the eligibility requirements for accountancy licensure by authorizing a holder of a baccalaureate degree with two years of experience and who has passed an examination in accounting and auditing to obtain a license, to allow the Mayor t</w:t>
      </w:r>
      <w:r w:rsidR="00D40B85">
        <w:t>o</w:t>
      </w:r>
      <w:r>
        <w:t xml:space="preserve"> add additional licensure requirements by rulemaking, and to amend mobility requirements for those who are licensed in another jurisdiction and want to practice in the District. </w:t>
      </w:r>
    </w:p>
    <w:p w14:paraId="26F3E0C9" w14:textId="77777777" w:rsidR="005D2B5A" w:rsidRDefault="005D2B5A" w:rsidP="005D2B5A">
      <w:pPr>
        <w:ind w:left="0" w:firstLine="0"/>
      </w:pPr>
    </w:p>
    <w:p w14:paraId="2573EDC4" w14:textId="1F9482DC" w:rsidR="001A03B7" w:rsidRPr="001A03B7" w:rsidRDefault="007A26EC" w:rsidP="007A26EC">
      <w:pPr>
        <w:spacing w:line="480" w:lineRule="auto"/>
        <w:ind w:left="0" w:firstLine="0"/>
      </w:pPr>
      <w:r>
        <w:tab/>
      </w:r>
      <w:r w:rsidR="001A03B7" w:rsidRPr="001A03B7">
        <w:t>BE IT ENACTED BY THE COUNCIL OF THE DISTRICT OF COLUMBIA, That this act may be cited as th</w:t>
      </w:r>
      <w:r w:rsidR="005D2B5A">
        <w:t>e "Accountancy Practice Amendment Act of 2025".</w:t>
      </w:r>
    </w:p>
    <w:p w14:paraId="27DF0940" w14:textId="77777777" w:rsidR="005D2B5A" w:rsidRPr="005D2B5A" w:rsidRDefault="007A26EC" w:rsidP="005D2B5A">
      <w:pPr>
        <w:widowControl w:val="0"/>
        <w:autoSpaceDE w:val="0"/>
        <w:autoSpaceDN w:val="0"/>
        <w:spacing w:line="480" w:lineRule="auto"/>
        <w:ind w:left="0" w:firstLine="0"/>
        <w:rPr>
          <w:rFonts w:eastAsia="Times New Roman"/>
          <w:szCs w:val="24"/>
        </w:rPr>
      </w:pPr>
      <w:r>
        <w:rPr>
          <w:rFonts w:eastAsia="Times New Roman"/>
          <w:szCs w:val="24"/>
        </w:rPr>
        <w:tab/>
      </w:r>
      <w:r w:rsidR="005D2B5A" w:rsidRPr="005D2B5A">
        <w:rPr>
          <w:rFonts w:eastAsia="Times New Roman"/>
          <w:szCs w:val="24"/>
        </w:rPr>
        <w:t>Sec. 2. Chapter 28 of Title 47 of D.C. Official Code is amended as follows:</w:t>
      </w:r>
    </w:p>
    <w:p w14:paraId="3272B378" w14:textId="0487B43F" w:rsidR="005D2B5A" w:rsidRPr="005D2B5A" w:rsidRDefault="005D2B5A" w:rsidP="005D2B5A">
      <w:pPr>
        <w:widowControl w:val="0"/>
        <w:autoSpaceDE w:val="0"/>
        <w:autoSpaceDN w:val="0"/>
        <w:spacing w:line="480" w:lineRule="auto"/>
        <w:ind w:left="0" w:firstLine="0"/>
        <w:rPr>
          <w:rFonts w:eastAsia="Times New Roman"/>
          <w:szCs w:val="24"/>
        </w:rPr>
      </w:pPr>
      <w:r>
        <w:rPr>
          <w:rFonts w:eastAsia="Times New Roman"/>
          <w:szCs w:val="24"/>
        </w:rPr>
        <w:tab/>
      </w:r>
      <w:r w:rsidRPr="005D2B5A">
        <w:rPr>
          <w:rFonts w:eastAsia="Times New Roman"/>
          <w:szCs w:val="24"/>
        </w:rPr>
        <w:t>(a) D.C. Official Code§ 47-2853.42 is amended to read as follows:</w:t>
      </w:r>
    </w:p>
    <w:p w14:paraId="755BC68D" w14:textId="3EAE9FA8" w:rsidR="005D2B5A" w:rsidRPr="005D2B5A" w:rsidRDefault="005D2B5A" w:rsidP="005D2B5A">
      <w:pPr>
        <w:widowControl w:val="0"/>
        <w:autoSpaceDE w:val="0"/>
        <w:autoSpaceDN w:val="0"/>
        <w:spacing w:line="480" w:lineRule="auto"/>
        <w:ind w:left="0" w:firstLine="0"/>
        <w:rPr>
          <w:rFonts w:eastAsia="Times New Roman"/>
          <w:szCs w:val="24"/>
        </w:rPr>
      </w:pPr>
      <w:r>
        <w:rPr>
          <w:rFonts w:eastAsia="Times New Roman"/>
          <w:szCs w:val="24"/>
        </w:rPr>
        <w:tab/>
      </w:r>
      <w:r w:rsidR="00335AF4">
        <w:rPr>
          <w:rFonts w:eastAsia="Times New Roman"/>
          <w:szCs w:val="24"/>
        </w:rPr>
        <w:t>“</w:t>
      </w:r>
      <w:r w:rsidRPr="005D2B5A">
        <w:rPr>
          <w:rFonts w:eastAsia="Times New Roman"/>
          <w:szCs w:val="24"/>
        </w:rPr>
        <w:t>§ 47-2853.42. Eligibility requirements.</w:t>
      </w:r>
    </w:p>
    <w:p w14:paraId="2632CAF4" w14:textId="4CEEABF4" w:rsidR="005D2B5A" w:rsidRPr="005D2B5A" w:rsidRDefault="005D2B5A" w:rsidP="005D2B5A">
      <w:pPr>
        <w:widowControl w:val="0"/>
        <w:autoSpaceDE w:val="0"/>
        <w:autoSpaceDN w:val="0"/>
        <w:spacing w:line="480" w:lineRule="auto"/>
        <w:ind w:left="0" w:firstLine="0"/>
        <w:rPr>
          <w:rFonts w:eastAsia="Times New Roman"/>
          <w:szCs w:val="24"/>
        </w:rPr>
      </w:pPr>
      <w:r>
        <w:rPr>
          <w:rFonts w:eastAsia="Times New Roman"/>
          <w:szCs w:val="24"/>
        </w:rPr>
        <w:tab/>
      </w:r>
      <w:r w:rsidR="00335AF4">
        <w:rPr>
          <w:rFonts w:eastAsia="Times New Roman"/>
          <w:szCs w:val="24"/>
        </w:rPr>
        <w:t>“</w:t>
      </w:r>
      <w:r w:rsidRPr="005D2B5A">
        <w:rPr>
          <w:rFonts w:eastAsia="Times New Roman"/>
          <w:szCs w:val="24"/>
        </w:rPr>
        <w:t>(a) An applicant for licensure as a certified public accountant shall establish to the</w:t>
      </w:r>
      <w:r w:rsidR="00B23E9D">
        <w:rPr>
          <w:rFonts w:eastAsia="Times New Roman"/>
          <w:szCs w:val="24"/>
        </w:rPr>
        <w:t xml:space="preserve"> </w:t>
      </w:r>
      <w:r w:rsidRPr="005D2B5A">
        <w:rPr>
          <w:rFonts w:eastAsia="Times New Roman"/>
          <w:szCs w:val="24"/>
        </w:rPr>
        <w:t>satisfaction of the Board that the applicant:</w:t>
      </w:r>
    </w:p>
    <w:p w14:paraId="03EE4693" w14:textId="394A1D85" w:rsidR="005D2B5A" w:rsidRPr="005D2B5A" w:rsidRDefault="005D2B5A" w:rsidP="005D2B5A">
      <w:pPr>
        <w:widowControl w:val="0"/>
        <w:autoSpaceDE w:val="0"/>
        <w:autoSpaceDN w:val="0"/>
        <w:spacing w:line="480" w:lineRule="auto"/>
        <w:ind w:left="0" w:firstLine="0"/>
        <w:rPr>
          <w:rFonts w:eastAsia="Times New Roman"/>
          <w:szCs w:val="24"/>
        </w:rPr>
      </w:pPr>
      <w:r>
        <w:rPr>
          <w:rFonts w:eastAsia="Times New Roman"/>
          <w:szCs w:val="24"/>
        </w:rPr>
        <w:tab/>
      </w:r>
      <w:r>
        <w:rPr>
          <w:rFonts w:eastAsia="Times New Roman"/>
          <w:szCs w:val="24"/>
        </w:rPr>
        <w:tab/>
      </w:r>
      <w:r w:rsidR="00335AF4">
        <w:rPr>
          <w:rFonts w:eastAsia="Times New Roman"/>
          <w:szCs w:val="24"/>
        </w:rPr>
        <w:t>“</w:t>
      </w:r>
      <w:r w:rsidRPr="005D2B5A">
        <w:rPr>
          <w:rFonts w:eastAsia="Times New Roman"/>
          <w:szCs w:val="24"/>
        </w:rPr>
        <w:t>(l) Has passed an examination in accounting and auditing and such related</w:t>
      </w:r>
      <w:r w:rsidR="00B23E9D">
        <w:rPr>
          <w:rFonts w:eastAsia="Times New Roman"/>
          <w:szCs w:val="24"/>
        </w:rPr>
        <w:t xml:space="preserve"> </w:t>
      </w:r>
      <w:r w:rsidRPr="005D2B5A">
        <w:rPr>
          <w:rFonts w:eastAsia="Times New Roman"/>
          <w:szCs w:val="24"/>
        </w:rPr>
        <w:t>subjects as the Board shall det</w:t>
      </w:r>
      <w:r w:rsidR="00277230">
        <w:rPr>
          <w:rFonts w:eastAsia="Times New Roman"/>
          <w:szCs w:val="24"/>
        </w:rPr>
        <w:t>erm</w:t>
      </w:r>
      <w:r w:rsidRPr="005D2B5A">
        <w:rPr>
          <w:rFonts w:eastAsia="Times New Roman"/>
          <w:szCs w:val="24"/>
        </w:rPr>
        <w:t>ine to be appropriate;</w:t>
      </w:r>
    </w:p>
    <w:p w14:paraId="6B753D5C" w14:textId="5CB32489" w:rsidR="001A03B7" w:rsidRDefault="005D2B5A" w:rsidP="005D2B5A">
      <w:pPr>
        <w:widowControl w:val="0"/>
        <w:autoSpaceDE w:val="0"/>
        <w:autoSpaceDN w:val="0"/>
        <w:spacing w:line="480" w:lineRule="auto"/>
        <w:ind w:left="0" w:firstLine="0"/>
        <w:rPr>
          <w:rFonts w:eastAsia="Times New Roman"/>
          <w:szCs w:val="24"/>
        </w:rPr>
      </w:pPr>
      <w:r>
        <w:rPr>
          <w:rFonts w:eastAsia="Times New Roman"/>
          <w:szCs w:val="24"/>
        </w:rPr>
        <w:tab/>
      </w:r>
      <w:r>
        <w:rPr>
          <w:rFonts w:eastAsia="Times New Roman"/>
          <w:szCs w:val="24"/>
        </w:rPr>
        <w:tab/>
      </w:r>
      <w:r w:rsidR="00335AF4">
        <w:rPr>
          <w:rFonts w:eastAsia="Times New Roman"/>
          <w:szCs w:val="24"/>
        </w:rPr>
        <w:t>“</w:t>
      </w:r>
      <w:r w:rsidRPr="005D2B5A">
        <w:rPr>
          <w:rFonts w:eastAsia="Times New Roman"/>
          <w:szCs w:val="24"/>
        </w:rPr>
        <w:t>(2)(A) Holds a baccalaureate or post-baccalaureate degree with a concentration</w:t>
      </w:r>
      <w:r w:rsidR="00B23E9D">
        <w:rPr>
          <w:rFonts w:eastAsia="Times New Roman"/>
          <w:szCs w:val="24"/>
        </w:rPr>
        <w:t xml:space="preserve"> </w:t>
      </w:r>
      <w:r w:rsidRPr="005D2B5A">
        <w:rPr>
          <w:rFonts w:eastAsia="Times New Roman"/>
          <w:szCs w:val="24"/>
        </w:rPr>
        <w:t>in accounting conferred by a college or university acceptable to the Board or holds a degree the</w:t>
      </w:r>
      <w:r w:rsidR="00B23E9D">
        <w:rPr>
          <w:rFonts w:eastAsia="Times New Roman"/>
          <w:szCs w:val="24"/>
        </w:rPr>
        <w:t xml:space="preserve"> </w:t>
      </w:r>
      <w:r w:rsidRPr="005D2B5A">
        <w:rPr>
          <w:rFonts w:eastAsia="Times New Roman"/>
          <w:szCs w:val="24"/>
        </w:rPr>
        <w:t>Board determines to be substantially equivalent thereto; or</w:t>
      </w:r>
      <w:r w:rsidR="001A03B7" w:rsidRPr="00D75D54">
        <w:rPr>
          <w:rFonts w:eastAsia="Times New Roman"/>
          <w:szCs w:val="24"/>
        </w:rPr>
        <w:t xml:space="preserve">. </w:t>
      </w:r>
    </w:p>
    <w:p w14:paraId="0CFB579C" w14:textId="5D51106E" w:rsidR="005D2B5A" w:rsidRDefault="005D2B5A" w:rsidP="005D2B5A">
      <w:pPr>
        <w:widowControl w:val="0"/>
        <w:autoSpaceDE w:val="0"/>
        <w:autoSpaceDN w:val="0"/>
        <w:spacing w:line="480" w:lineRule="auto"/>
        <w:ind w:left="0" w:firstLine="0"/>
      </w:pPr>
      <w:r>
        <w:lastRenderedPageBreak/>
        <w:tab/>
      </w:r>
      <w:r>
        <w:tab/>
      </w:r>
      <w:r>
        <w:tab/>
        <w:t xml:space="preserve">“(B) Holds a baccalaureate degree conferred by a college or university acceptable to the Board supplemented with the equivalent of an accounting concentration, which may include related courses in other areas of business administration; </w:t>
      </w:r>
    </w:p>
    <w:p w14:paraId="24A4C866" w14:textId="509AA8C8" w:rsidR="005D2B5A" w:rsidRDefault="005D2B5A" w:rsidP="005D2B5A">
      <w:pPr>
        <w:widowControl w:val="0"/>
        <w:autoSpaceDE w:val="0"/>
        <w:autoSpaceDN w:val="0"/>
        <w:spacing w:line="480" w:lineRule="auto"/>
        <w:ind w:left="0" w:firstLine="0"/>
      </w:pPr>
      <w:r>
        <w:tab/>
      </w:r>
      <w:r>
        <w:tab/>
        <w:t xml:space="preserve">“(3) Has completed the following years of relevant experience: </w:t>
      </w:r>
    </w:p>
    <w:p w14:paraId="78F71C49" w14:textId="5B9FD886" w:rsidR="005D2B5A" w:rsidRDefault="005D2B5A" w:rsidP="005D2B5A">
      <w:pPr>
        <w:widowControl w:val="0"/>
        <w:autoSpaceDE w:val="0"/>
        <w:autoSpaceDN w:val="0"/>
        <w:spacing w:line="480" w:lineRule="auto"/>
        <w:ind w:left="0" w:firstLine="0"/>
      </w:pPr>
      <w:r>
        <w:tab/>
      </w:r>
      <w:r>
        <w:tab/>
      </w:r>
      <w:r>
        <w:tab/>
        <w:t xml:space="preserve">“(A) Two years for an applicant </w:t>
      </w:r>
      <w:r w:rsidR="00B23E9D">
        <w:t xml:space="preserve">who </w:t>
      </w:r>
      <w:r>
        <w:t xml:space="preserve">holds a baccalaureate degree described in paragraph (2)(A) or (B) of this subsection, of which one year may be substituted by having completed an additional 30 semester credit hours above the minimum hours required for a baccalaureate degree; or </w:t>
      </w:r>
    </w:p>
    <w:p w14:paraId="20225BAE" w14:textId="5AD387D9" w:rsidR="005D2B5A" w:rsidRDefault="005D2B5A" w:rsidP="005D2B5A">
      <w:pPr>
        <w:widowControl w:val="0"/>
        <w:autoSpaceDE w:val="0"/>
        <w:autoSpaceDN w:val="0"/>
        <w:spacing w:line="480" w:lineRule="auto"/>
        <w:ind w:left="0" w:firstLine="0"/>
      </w:pPr>
      <w:r>
        <w:tab/>
      </w:r>
      <w:r>
        <w:tab/>
      </w:r>
      <w:r>
        <w:tab/>
        <w:t xml:space="preserve">“(B) One year for an applicant </w:t>
      </w:r>
      <w:r w:rsidR="005F1642">
        <w:t xml:space="preserve">who </w:t>
      </w:r>
      <w:r>
        <w:t xml:space="preserve">holds a post-baccalaureate degree described in paragraph (2)(A) of this subsection; and </w:t>
      </w:r>
    </w:p>
    <w:p w14:paraId="5AD78920" w14:textId="77777777" w:rsidR="005D2B5A" w:rsidRDefault="005D2B5A" w:rsidP="005D2B5A">
      <w:pPr>
        <w:widowControl w:val="0"/>
        <w:autoSpaceDE w:val="0"/>
        <w:autoSpaceDN w:val="0"/>
        <w:spacing w:line="480" w:lineRule="auto"/>
        <w:ind w:left="0" w:firstLine="0"/>
      </w:pPr>
      <w:r>
        <w:tab/>
      </w:r>
      <w:r>
        <w:tab/>
        <w:t xml:space="preserve">“(4) Meets any other requirements established by rule. </w:t>
      </w:r>
    </w:p>
    <w:p w14:paraId="16EBCBC0" w14:textId="77777777" w:rsidR="005D2B5A" w:rsidRDefault="005D2B5A" w:rsidP="005D2B5A">
      <w:pPr>
        <w:widowControl w:val="0"/>
        <w:autoSpaceDE w:val="0"/>
        <w:autoSpaceDN w:val="0"/>
        <w:spacing w:line="480" w:lineRule="auto"/>
        <w:ind w:left="0" w:firstLine="0"/>
      </w:pPr>
      <w:r>
        <w:tab/>
        <w:t xml:space="preserve">“(b) For the purposes of subsection (a)(3) of this section: </w:t>
      </w:r>
    </w:p>
    <w:p w14:paraId="126CC3F0" w14:textId="77777777" w:rsidR="005D2B5A" w:rsidRDefault="005D2B5A" w:rsidP="005D2B5A">
      <w:pPr>
        <w:widowControl w:val="0"/>
        <w:autoSpaceDE w:val="0"/>
        <w:autoSpaceDN w:val="0"/>
        <w:spacing w:line="480" w:lineRule="auto"/>
        <w:ind w:left="0" w:firstLine="0"/>
      </w:pPr>
      <w:r>
        <w:tab/>
      </w:r>
      <w:r>
        <w:tab/>
        <w:t xml:space="preserve">“(1) “Relevant experience” means providing service or advice representing the skills needed at the time of licensure to serve the public as a certified public accountant. </w:t>
      </w:r>
    </w:p>
    <w:p w14:paraId="4F59ED5E" w14:textId="77777777" w:rsidR="005D2B5A" w:rsidRDefault="005D2B5A" w:rsidP="005D2B5A">
      <w:pPr>
        <w:widowControl w:val="0"/>
        <w:autoSpaceDE w:val="0"/>
        <w:autoSpaceDN w:val="0"/>
        <w:spacing w:line="480" w:lineRule="auto"/>
        <w:ind w:left="0" w:firstLine="0"/>
      </w:pPr>
      <w:r>
        <w:tab/>
      </w:r>
      <w:r>
        <w:tab/>
        <w:t xml:space="preserve">“(2) Relevant experience includes providing any type of business services or advice using accounting, attest, compilation, management advisory, financial advisory, tax, or consulting skills, to the extent such experience has been verified by a person licensed as a certified public accountant. </w:t>
      </w:r>
    </w:p>
    <w:p w14:paraId="6A023A4B" w14:textId="6FFF0F64" w:rsidR="005D2B5A" w:rsidRDefault="005D2B5A" w:rsidP="005D2B5A">
      <w:pPr>
        <w:widowControl w:val="0"/>
        <w:autoSpaceDE w:val="0"/>
        <w:autoSpaceDN w:val="0"/>
        <w:spacing w:line="480" w:lineRule="auto"/>
        <w:ind w:left="0" w:firstLine="0"/>
      </w:pPr>
      <w:r>
        <w:tab/>
      </w:r>
      <w:r>
        <w:tab/>
        <w:t xml:space="preserve">“(3) Whether the experience of an applicant constitutes relevant experience shall be determined by the Board. </w:t>
      </w:r>
    </w:p>
    <w:p w14:paraId="322D5B6B" w14:textId="3CC90FEF" w:rsidR="005D2B5A" w:rsidRDefault="005D2B5A" w:rsidP="007A26EC">
      <w:pPr>
        <w:widowControl w:val="0"/>
        <w:autoSpaceDE w:val="0"/>
        <w:autoSpaceDN w:val="0"/>
        <w:spacing w:line="480" w:lineRule="auto"/>
        <w:ind w:left="0" w:firstLine="0"/>
      </w:pPr>
      <w:r>
        <w:tab/>
        <w:t xml:space="preserve">“(c) The Mayor, pursuant to Title I of the District of Columbia Administrative Procedure Act, approved October 21, 1968 (82 Stat. 1204; D.C. Official Code § 2-501 </w:t>
      </w:r>
      <w:r w:rsidRPr="006C1DF7">
        <w:rPr>
          <w:i/>
          <w:iCs/>
        </w:rPr>
        <w:t>et seq.</w:t>
      </w:r>
      <w:r>
        <w:t>), may</w:t>
      </w:r>
      <w:r w:rsidR="004C0CA0">
        <w:t xml:space="preserve"> </w:t>
      </w:r>
      <w:r>
        <w:t xml:space="preserve">establish additional licensure requirements by rule to ensure that the applicant has the proper </w:t>
      </w:r>
      <w:r>
        <w:lastRenderedPageBreak/>
        <w:t xml:space="preserve">training, experience, and qualifications to practice as a certified public accountant.”. </w:t>
      </w:r>
    </w:p>
    <w:p w14:paraId="4F2201B9" w14:textId="77777777" w:rsidR="005D2B5A" w:rsidRDefault="005D2B5A" w:rsidP="007A26EC">
      <w:pPr>
        <w:widowControl w:val="0"/>
        <w:autoSpaceDE w:val="0"/>
        <w:autoSpaceDN w:val="0"/>
        <w:spacing w:line="480" w:lineRule="auto"/>
        <w:ind w:left="0" w:firstLine="0"/>
      </w:pPr>
      <w:r>
        <w:tab/>
        <w:t xml:space="preserve">(b) D.C. Official Code § 47-2853.49 is amended as follows: </w:t>
      </w:r>
    </w:p>
    <w:p w14:paraId="38608116" w14:textId="77777777" w:rsidR="005D2B5A" w:rsidRDefault="005D2B5A" w:rsidP="007A26EC">
      <w:pPr>
        <w:widowControl w:val="0"/>
        <w:autoSpaceDE w:val="0"/>
        <w:autoSpaceDN w:val="0"/>
        <w:spacing w:line="480" w:lineRule="auto"/>
        <w:ind w:left="0" w:firstLine="0"/>
      </w:pPr>
      <w:r>
        <w:tab/>
      </w:r>
      <w:r>
        <w:tab/>
        <w:t xml:space="preserve">(1) The section heading is amended to read as follows: </w:t>
      </w:r>
    </w:p>
    <w:p w14:paraId="78164B27" w14:textId="7EC58F79" w:rsidR="005D2B5A" w:rsidRDefault="005D2B5A" w:rsidP="007A26EC">
      <w:pPr>
        <w:widowControl w:val="0"/>
        <w:autoSpaceDE w:val="0"/>
        <w:autoSpaceDN w:val="0"/>
        <w:spacing w:line="480" w:lineRule="auto"/>
        <w:ind w:left="0" w:firstLine="0"/>
      </w:pPr>
      <w:r>
        <w:tab/>
        <w:t xml:space="preserve">“47-2853.49. Practice privilege.”. </w:t>
      </w:r>
    </w:p>
    <w:p w14:paraId="18268CD4" w14:textId="77777777" w:rsidR="005D2B5A" w:rsidRDefault="005D2B5A" w:rsidP="007A26EC">
      <w:pPr>
        <w:widowControl w:val="0"/>
        <w:autoSpaceDE w:val="0"/>
        <w:autoSpaceDN w:val="0"/>
        <w:spacing w:line="480" w:lineRule="auto"/>
        <w:ind w:left="0" w:firstLine="0"/>
      </w:pPr>
      <w:r>
        <w:tab/>
      </w:r>
      <w:r>
        <w:tab/>
        <w:t xml:space="preserve">(2) Subsections (a) and (b) are amended to read as follows: </w:t>
      </w:r>
    </w:p>
    <w:p w14:paraId="23BA8011" w14:textId="43C59AE3" w:rsidR="005D2B5A" w:rsidRDefault="005D2B5A" w:rsidP="007A26EC">
      <w:pPr>
        <w:widowControl w:val="0"/>
        <w:autoSpaceDE w:val="0"/>
        <w:autoSpaceDN w:val="0"/>
        <w:spacing w:line="480" w:lineRule="auto"/>
        <w:ind w:left="0" w:firstLine="0"/>
      </w:pPr>
      <w:r>
        <w:tab/>
        <w:t>“(a) An individual whose principal place of business is not in the District shall have all the privileges of a licensee of the District without the need to obtain a license under § 47-2853.42; provided</w:t>
      </w:r>
      <w:r w:rsidR="004C0CA0">
        <w:t>,</w:t>
      </w:r>
      <w:r>
        <w:t xml:space="preserve"> that the individual: </w:t>
      </w:r>
    </w:p>
    <w:p w14:paraId="678B41FA" w14:textId="3471A5E2" w:rsidR="005D2B5A" w:rsidRDefault="005D2B5A" w:rsidP="007A26EC">
      <w:pPr>
        <w:widowControl w:val="0"/>
        <w:autoSpaceDE w:val="0"/>
        <w:autoSpaceDN w:val="0"/>
        <w:spacing w:line="480" w:lineRule="auto"/>
        <w:ind w:left="0" w:firstLine="0"/>
      </w:pPr>
      <w:r>
        <w:tab/>
      </w:r>
      <w:r>
        <w:tab/>
        <w:t>“(1) Holds a valid, unrestricted license as a</w:t>
      </w:r>
      <w:r w:rsidR="0083639F">
        <w:t xml:space="preserve"> certified public accountant</w:t>
      </w:r>
      <w:r>
        <w:t xml:space="preserve"> </w:t>
      </w:r>
      <w:r w:rsidR="0083639F">
        <w:t>(“</w:t>
      </w:r>
      <w:r>
        <w:t>CPA</w:t>
      </w:r>
      <w:r w:rsidR="0083639F">
        <w:t>”)</w:t>
      </w:r>
      <w:r>
        <w:t xml:space="preserve"> in good standing issued by another state or territory of the United States; and </w:t>
      </w:r>
    </w:p>
    <w:p w14:paraId="412F6EE8" w14:textId="5E089A02" w:rsidR="005D2B5A" w:rsidRDefault="005D2B5A" w:rsidP="007A26EC">
      <w:pPr>
        <w:widowControl w:val="0"/>
        <w:autoSpaceDE w:val="0"/>
        <w:autoSpaceDN w:val="0"/>
        <w:spacing w:line="480" w:lineRule="auto"/>
        <w:ind w:left="0" w:firstLine="0"/>
      </w:pPr>
      <w:r>
        <w:tab/>
      </w:r>
      <w:r>
        <w:tab/>
        <w:t xml:space="preserve">“(2) At the time of initial licensure in the other state or territory, the individual was required to show evidence of having: </w:t>
      </w:r>
    </w:p>
    <w:p w14:paraId="06E96343" w14:textId="6E2B7C35" w:rsidR="005D2B5A" w:rsidRDefault="005D2B5A" w:rsidP="007A26EC">
      <w:pPr>
        <w:widowControl w:val="0"/>
        <w:autoSpaceDE w:val="0"/>
        <w:autoSpaceDN w:val="0"/>
        <w:spacing w:line="480" w:lineRule="auto"/>
        <w:ind w:left="0" w:firstLine="0"/>
      </w:pPr>
      <w:r>
        <w:tab/>
      </w:r>
      <w:r>
        <w:tab/>
      </w:r>
      <w:r>
        <w:tab/>
        <w:t xml:space="preserve">“(A) Passed the Uniform CPA Examination or another </w:t>
      </w:r>
      <w:r w:rsidR="00774360">
        <w:t xml:space="preserve">CPA </w:t>
      </w:r>
      <w:r>
        <w:t xml:space="preserve">examination approved by the Board; </w:t>
      </w:r>
    </w:p>
    <w:p w14:paraId="072C1C5A" w14:textId="3EFED261" w:rsidR="005D2B5A" w:rsidRDefault="005D2B5A" w:rsidP="007A26EC">
      <w:pPr>
        <w:widowControl w:val="0"/>
        <w:autoSpaceDE w:val="0"/>
        <w:autoSpaceDN w:val="0"/>
        <w:spacing w:line="480" w:lineRule="auto"/>
        <w:ind w:left="0" w:firstLine="0"/>
      </w:pPr>
      <w:r>
        <w:tab/>
      </w:r>
      <w:r>
        <w:tab/>
      </w:r>
      <w:r>
        <w:tab/>
        <w:t xml:space="preserve">“(B) Satisfied education requirements equivalent to those set forth in § 47-2853.42(a)(2); and </w:t>
      </w:r>
    </w:p>
    <w:p w14:paraId="1DA76ACC" w14:textId="278370BE" w:rsidR="005D2B5A" w:rsidRDefault="005D2B5A" w:rsidP="007A26EC">
      <w:pPr>
        <w:widowControl w:val="0"/>
        <w:autoSpaceDE w:val="0"/>
        <w:autoSpaceDN w:val="0"/>
        <w:spacing w:line="480" w:lineRule="auto"/>
        <w:ind w:left="0" w:firstLine="0"/>
      </w:pPr>
      <w:r>
        <w:tab/>
      </w:r>
      <w:r>
        <w:tab/>
      </w:r>
      <w:r>
        <w:tab/>
        <w:t>“(C) Satisfied experience requirements equivalent to those set forth in §</w:t>
      </w:r>
      <w:r w:rsidR="004632A1">
        <w:t> </w:t>
      </w:r>
      <w:r>
        <w:t xml:space="preserve">47-2853.42(a)(3).”. </w:t>
      </w:r>
    </w:p>
    <w:p w14:paraId="57FEC9E8" w14:textId="4D8E1F86" w:rsidR="005D2B5A" w:rsidRDefault="005D2B5A" w:rsidP="007A26EC">
      <w:pPr>
        <w:widowControl w:val="0"/>
        <w:autoSpaceDE w:val="0"/>
        <w:autoSpaceDN w:val="0"/>
        <w:spacing w:line="480" w:lineRule="auto"/>
        <w:ind w:left="0" w:firstLine="0"/>
      </w:pPr>
      <w:r>
        <w:tab/>
        <w:t xml:space="preserve">“(b) An individual whose principal place of business is not in the District, </w:t>
      </w:r>
      <w:r w:rsidR="00FC7EFA">
        <w:t xml:space="preserve">who </w:t>
      </w:r>
      <w:r>
        <w:t>is licensed as a</w:t>
      </w:r>
      <w:r w:rsidR="00FC7EFA">
        <w:t xml:space="preserve"> </w:t>
      </w:r>
      <w:r>
        <w:t xml:space="preserve">CPA in good standing in another state or territory of the United States, and </w:t>
      </w:r>
      <w:r w:rsidR="00FC7EFA">
        <w:t xml:space="preserve">who </w:t>
      </w:r>
      <w:r>
        <w:t>had practice privileges in the District under the version of this section that was in effect immediately prior to the effective date of the Accountancy Practice Amendment Act of 202</w:t>
      </w:r>
      <w:r w:rsidR="00DF66FB">
        <w:t xml:space="preserve">6, </w:t>
      </w:r>
      <w:r w:rsidR="00402888">
        <w:t>as approved by the Committee on Public Works and Operations on June 22, 2026 (</w:t>
      </w:r>
      <w:r w:rsidR="001C2F4D">
        <w:t>Committee print of B26-494),</w:t>
      </w:r>
      <w:r>
        <w:t xml:space="preserve"> </w:t>
      </w:r>
      <w:r>
        <w:lastRenderedPageBreak/>
        <w:t>shall continue to have all privileges of a licensee in the District without the need to obtain a license under §</w:t>
      </w:r>
      <w:r w:rsidR="004632A1">
        <w:t> </w:t>
      </w:r>
      <w:r>
        <w:t xml:space="preserve">47-2853.42 regardless of whether the individual meets the requirements of this section on the effective date of </w:t>
      </w:r>
      <w:r w:rsidR="00130D1D">
        <w:t>such legislation</w:t>
      </w:r>
      <w:r>
        <w:t xml:space="preserve">.”. </w:t>
      </w:r>
    </w:p>
    <w:p w14:paraId="2465BE6D" w14:textId="534706C4" w:rsidR="005D2B5A" w:rsidRPr="00D75D54" w:rsidRDefault="005D2B5A" w:rsidP="007A26EC">
      <w:pPr>
        <w:widowControl w:val="0"/>
        <w:autoSpaceDE w:val="0"/>
        <w:autoSpaceDN w:val="0"/>
        <w:spacing w:line="480" w:lineRule="auto"/>
        <w:ind w:left="0" w:firstLine="0"/>
        <w:rPr>
          <w:rFonts w:eastAsia="Times New Roman"/>
          <w:szCs w:val="24"/>
        </w:rPr>
      </w:pPr>
      <w:r>
        <w:tab/>
      </w:r>
      <w:r>
        <w:tab/>
        <w:t>(3) Subsection (d) is amended by striking the phrase “shall simultaneously consent, as a condition of the grant of the privilege” and inserting the phrase “shall be deemed to have simultaneously consented, as a condition of the exercise of the privilege” in its place.</w:t>
      </w:r>
    </w:p>
    <w:p w14:paraId="0BBFE55E" w14:textId="77777777" w:rsidR="001A03B7" w:rsidRPr="00D75D54" w:rsidRDefault="007A26EC" w:rsidP="007A26EC">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Sec. 3. Fiscal impact statement.</w:t>
      </w:r>
    </w:p>
    <w:p w14:paraId="044A02E3" w14:textId="29E69B7E" w:rsidR="005D2B5A" w:rsidRDefault="00D75D54" w:rsidP="005D2B5A">
      <w:pPr>
        <w:widowControl w:val="0"/>
        <w:autoSpaceDE w:val="0"/>
        <w:autoSpaceDN w:val="0"/>
        <w:spacing w:line="480" w:lineRule="auto"/>
        <w:ind w:left="0" w:firstLine="0"/>
      </w:pPr>
      <w:r>
        <w:rPr>
          <w:rFonts w:eastAsia="Times New Roman"/>
          <w:szCs w:val="24"/>
        </w:rPr>
        <w:tab/>
      </w:r>
      <w:r w:rsidR="005D2B5A">
        <w:t xml:space="preserve">The Council adopts the fiscal impact statement </w:t>
      </w:r>
      <w:r w:rsidR="00C90E78">
        <w:t>in the committee report</w:t>
      </w:r>
      <w:r w:rsidR="005D2B5A">
        <w:t xml:space="preserve"> as the fiscal impact statement required by section 4a of the General Legislative Procedures Act of 1975, approved October 16, 2006 (120 Stat. 2038; D.C. Official Code § 1-301.47a). </w:t>
      </w:r>
    </w:p>
    <w:p w14:paraId="2057DEC1" w14:textId="77777777" w:rsidR="005D2B5A" w:rsidRDefault="005D2B5A" w:rsidP="005D2B5A">
      <w:pPr>
        <w:widowControl w:val="0"/>
        <w:autoSpaceDE w:val="0"/>
        <w:autoSpaceDN w:val="0"/>
        <w:spacing w:line="480" w:lineRule="auto"/>
        <w:ind w:left="0" w:firstLine="0"/>
      </w:pPr>
      <w:r>
        <w:tab/>
        <w:t xml:space="preserve">Sec. 4. Effective date. </w:t>
      </w:r>
    </w:p>
    <w:p w14:paraId="389684D6" w14:textId="634E00C9" w:rsidR="002C2306" w:rsidRPr="00D75D54" w:rsidRDefault="005D2B5A" w:rsidP="005D2B5A">
      <w:pPr>
        <w:widowControl w:val="0"/>
        <w:autoSpaceDE w:val="0"/>
        <w:autoSpaceDN w:val="0"/>
        <w:spacing w:line="480" w:lineRule="auto"/>
        <w:ind w:left="0" w:firstLine="0"/>
        <w:rPr>
          <w:rFonts w:eastAsia="Times New Roman"/>
          <w:szCs w:val="24"/>
        </w:rPr>
      </w:pPr>
      <w:r>
        <w:tab/>
        <w:t>This act shall take effect following approval by the Mayor (or in the event of veto by the Mayor, action by the Council to override the veto),</w:t>
      </w:r>
      <w:r w:rsidR="00225585">
        <w:t xml:space="preserve"> a</w:t>
      </w:r>
      <w:r>
        <w:t xml:space="preserve"> 30-day period of congressional review as provided in section 602(c)(1) of District of Columbia Home Rule Act, approved December 24, 1973 (87 Stat. 813; D.C. Official Code § 1-206.02(c)(1)), and publication in the District of Columbia Register.</w:t>
      </w:r>
    </w:p>
    <w:sectPr w:rsidR="002C2306" w:rsidRPr="00D75D54" w:rsidSect="007A26EC">
      <w:headerReference w:type="even" r:id="rId10"/>
      <w:footerReference w:type="even"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B4C0" w14:textId="77777777" w:rsidR="00B955A1" w:rsidRDefault="00B955A1" w:rsidP="00D75D54">
      <w:pPr>
        <w:spacing w:line="240" w:lineRule="auto"/>
      </w:pPr>
      <w:r>
        <w:separator/>
      </w:r>
    </w:p>
  </w:endnote>
  <w:endnote w:type="continuationSeparator" w:id="0">
    <w:p w14:paraId="5B819F6C" w14:textId="77777777" w:rsidR="00B955A1" w:rsidRDefault="00B955A1" w:rsidP="00D7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354969"/>
      <w:docPartObj>
        <w:docPartGallery w:val="Page Numbers (Bottom of Page)"/>
        <w:docPartUnique/>
      </w:docPartObj>
    </w:sdtPr>
    <w:sdtContent>
      <w:p w14:paraId="7188FAC8" w14:textId="77777777" w:rsidR="00D75D54" w:rsidRDefault="00D75D54" w:rsidP="00C80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9C205" w14:textId="77777777" w:rsidR="006620AD" w:rsidRDefault="006620AD" w:rsidP="00D75D54">
    <w:pPr>
      <w:pStyle w:val="Footer1"/>
      <w:ind w:right="360"/>
    </w:pPr>
  </w:p>
  <w:p w14:paraId="2464FAEE" w14:textId="77777777" w:rsidR="00316216" w:rsidRDefault="00316216" w:rsidP="001A03B7"/>
  <w:p w14:paraId="50FB5061" w14:textId="77777777" w:rsidR="00316216" w:rsidRDefault="00316216" w:rsidP="001A03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7AF8" w14:textId="77777777" w:rsidR="00316216" w:rsidRDefault="00316216" w:rsidP="00D75D54">
    <w:pPr>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840B" w14:textId="77777777" w:rsidR="00B955A1" w:rsidRDefault="00B955A1" w:rsidP="00D75D54">
      <w:pPr>
        <w:spacing w:line="240" w:lineRule="auto"/>
      </w:pPr>
      <w:r>
        <w:separator/>
      </w:r>
    </w:p>
  </w:footnote>
  <w:footnote w:type="continuationSeparator" w:id="0">
    <w:p w14:paraId="02CDFC52" w14:textId="77777777" w:rsidR="00B955A1" w:rsidRDefault="00B955A1" w:rsidP="00D75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9897" w14:textId="77777777" w:rsidR="006620AD" w:rsidRDefault="006620AD" w:rsidP="001A03B7">
    <w:pPr>
      <w:pStyle w:val="Header1"/>
    </w:pPr>
  </w:p>
  <w:p w14:paraId="6AA7C859" w14:textId="77777777" w:rsidR="00316216" w:rsidRDefault="00316216" w:rsidP="001A03B7"/>
  <w:p w14:paraId="41BDE2F6" w14:textId="77777777" w:rsidR="00316216" w:rsidRDefault="00316216" w:rsidP="001A0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684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FECC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CF4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6A0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7685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63C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4232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49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B0C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0766E"/>
    <w:lvl w:ilvl="0">
      <w:start w:val="1"/>
      <w:numFmt w:val="bullet"/>
      <w:lvlText w:val=""/>
      <w:lvlJc w:val="left"/>
      <w:pPr>
        <w:tabs>
          <w:tab w:val="num" w:pos="360"/>
        </w:tabs>
        <w:ind w:left="360" w:hanging="360"/>
      </w:pPr>
      <w:rPr>
        <w:rFonts w:ascii="Symbol" w:hAnsi="Symbol" w:hint="default"/>
      </w:rPr>
    </w:lvl>
  </w:abstractNum>
  <w:num w:numId="1" w16cid:durableId="1354964731">
    <w:abstractNumId w:val="0"/>
  </w:num>
  <w:num w:numId="2" w16cid:durableId="1761683838">
    <w:abstractNumId w:val="1"/>
  </w:num>
  <w:num w:numId="3" w16cid:durableId="343745870">
    <w:abstractNumId w:val="2"/>
  </w:num>
  <w:num w:numId="4" w16cid:durableId="565527987">
    <w:abstractNumId w:val="3"/>
  </w:num>
  <w:num w:numId="5" w16cid:durableId="1465386316">
    <w:abstractNumId w:val="8"/>
  </w:num>
  <w:num w:numId="6" w16cid:durableId="385446085">
    <w:abstractNumId w:val="4"/>
  </w:num>
  <w:num w:numId="7" w16cid:durableId="1140029930">
    <w:abstractNumId w:val="5"/>
  </w:num>
  <w:num w:numId="8" w16cid:durableId="608898157">
    <w:abstractNumId w:val="6"/>
  </w:num>
  <w:num w:numId="9" w16cid:durableId="697974229">
    <w:abstractNumId w:val="7"/>
  </w:num>
  <w:num w:numId="10" w16cid:durableId="611010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5A"/>
    <w:rsid w:val="00077174"/>
    <w:rsid w:val="000E406C"/>
    <w:rsid w:val="00117628"/>
    <w:rsid w:val="00121EAB"/>
    <w:rsid w:val="00130D1D"/>
    <w:rsid w:val="001A03B7"/>
    <w:rsid w:val="001C2F4D"/>
    <w:rsid w:val="00216E5F"/>
    <w:rsid w:val="00225585"/>
    <w:rsid w:val="0026120D"/>
    <w:rsid w:val="00277230"/>
    <w:rsid w:val="002C2306"/>
    <w:rsid w:val="00316216"/>
    <w:rsid w:val="00335AF4"/>
    <w:rsid w:val="003F48AF"/>
    <w:rsid w:val="00402888"/>
    <w:rsid w:val="004615BB"/>
    <w:rsid w:val="004632A1"/>
    <w:rsid w:val="004832E8"/>
    <w:rsid w:val="004C0CA0"/>
    <w:rsid w:val="00520193"/>
    <w:rsid w:val="005C759F"/>
    <w:rsid w:val="005D2B5A"/>
    <w:rsid w:val="005F1642"/>
    <w:rsid w:val="006620AD"/>
    <w:rsid w:val="006C1DF7"/>
    <w:rsid w:val="00742C4C"/>
    <w:rsid w:val="00774360"/>
    <w:rsid w:val="007A26EC"/>
    <w:rsid w:val="008012B7"/>
    <w:rsid w:val="0083639F"/>
    <w:rsid w:val="00893E81"/>
    <w:rsid w:val="008C49BC"/>
    <w:rsid w:val="00911A53"/>
    <w:rsid w:val="00A06950"/>
    <w:rsid w:val="00B23E9D"/>
    <w:rsid w:val="00B955A1"/>
    <w:rsid w:val="00BB0F38"/>
    <w:rsid w:val="00BF168A"/>
    <w:rsid w:val="00C80D84"/>
    <w:rsid w:val="00C90E78"/>
    <w:rsid w:val="00D13F0A"/>
    <w:rsid w:val="00D30171"/>
    <w:rsid w:val="00D40B85"/>
    <w:rsid w:val="00D75D54"/>
    <w:rsid w:val="00DC0707"/>
    <w:rsid w:val="00DF66FB"/>
    <w:rsid w:val="00EB5016"/>
    <w:rsid w:val="00FC7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B9A4"/>
  <w15:chartTrackingRefBased/>
  <w15:docId w15:val="{A0881246-A171-49D3-8F9B-D1F32F71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B7"/>
    <w:pPr>
      <w:spacing w:line="259" w:lineRule="auto"/>
      <w:ind w:left="720" w:hanging="72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1A03B7"/>
    <w:pPr>
      <w:tabs>
        <w:tab w:val="center" w:pos="4680"/>
        <w:tab w:val="right" w:pos="9360"/>
      </w:tabs>
    </w:pPr>
  </w:style>
  <w:style w:type="character" w:customStyle="1" w:styleId="HeaderChar">
    <w:name w:val="Header Char"/>
    <w:basedOn w:val="DefaultParagraphFont"/>
    <w:link w:val="Header1"/>
    <w:uiPriority w:val="99"/>
    <w:rsid w:val="001A03B7"/>
  </w:style>
  <w:style w:type="paragraph" w:customStyle="1" w:styleId="Footer1">
    <w:name w:val="Footer1"/>
    <w:basedOn w:val="Normal"/>
    <w:next w:val="Footer"/>
    <w:link w:val="FooterChar"/>
    <w:uiPriority w:val="99"/>
    <w:unhideWhenUsed/>
    <w:rsid w:val="001A03B7"/>
    <w:pPr>
      <w:tabs>
        <w:tab w:val="center" w:pos="4680"/>
        <w:tab w:val="right" w:pos="9360"/>
      </w:tabs>
    </w:pPr>
  </w:style>
  <w:style w:type="character" w:customStyle="1" w:styleId="FooterChar">
    <w:name w:val="Footer Char"/>
    <w:basedOn w:val="DefaultParagraphFont"/>
    <w:link w:val="Footer1"/>
    <w:uiPriority w:val="99"/>
    <w:rsid w:val="001A03B7"/>
  </w:style>
  <w:style w:type="paragraph" w:styleId="Header">
    <w:name w:val="header"/>
    <w:basedOn w:val="Normal"/>
    <w:link w:val="HeaderChar1"/>
    <w:uiPriority w:val="99"/>
    <w:unhideWhenUsed/>
    <w:rsid w:val="001A03B7"/>
    <w:pPr>
      <w:tabs>
        <w:tab w:val="center" w:pos="4680"/>
        <w:tab w:val="right" w:pos="9360"/>
      </w:tabs>
    </w:pPr>
  </w:style>
  <w:style w:type="character" w:customStyle="1" w:styleId="HeaderChar1">
    <w:name w:val="Header Char1"/>
    <w:basedOn w:val="DefaultParagraphFont"/>
    <w:link w:val="Header"/>
    <w:uiPriority w:val="99"/>
    <w:rsid w:val="001A03B7"/>
  </w:style>
  <w:style w:type="paragraph" w:styleId="Footer">
    <w:name w:val="footer"/>
    <w:basedOn w:val="Normal"/>
    <w:link w:val="FooterChar1"/>
    <w:uiPriority w:val="99"/>
    <w:unhideWhenUsed/>
    <w:rsid w:val="001A03B7"/>
    <w:pPr>
      <w:tabs>
        <w:tab w:val="center" w:pos="4680"/>
        <w:tab w:val="right" w:pos="9360"/>
      </w:tabs>
    </w:pPr>
  </w:style>
  <w:style w:type="character" w:customStyle="1" w:styleId="FooterChar1">
    <w:name w:val="Footer Char1"/>
    <w:basedOn w:val="DefaultParagraphFont"/>
    <w:link w:val="Footer"/>
    <w:uiPriority w:val="99"/>
    <w:rsid w:val="001A03B7"/>
  </w:style>
  <w:style w:type="character" w:styleId="LineNumber">
    <w:name w:val="line number"/>
    <w:basedOn w:val="DefaultParagraphFont"/>
    <w:uiPriority w:val="99"/>
    <w:semiHidden/>
    <w:unhideWhenUsed/>
    <w:rsid w:val="001A03B7"/>
  </w:style>
  <w:style w:type="character" w:styleId="PageNumber">
    <w:name w:val="page number"/>
    <w:basedOn w:val="DefaultParagraphFont"/>
    <w:uiPriority w:val="99"/>
    <w:semiHidden/>
    <w:unhideWhenUsed/>
    <w:rsid w:val="00D75D54"/>
  </w:style>
  <w:style w:type="paragraph" w:styleId="ListParagraph">
    <w:name w:val="List Paragraph"/>
    <w:basedOn w:val="Normal"/>
    <w:uiPriority w:val="34"/>
    <w:qFormat/>
    <w:rsid w:val="005D2B5A"/>
    <w:pPr>
      <w:contextualSpacing/>
    </w:pPr>
  </w:style>
  <w:style w:type="paragraph" w:styleId="Revision">
    <w:name w:val="Revision"/>
    <w:hidden/>
    <w:uiPriority w:val="99"/>
    <w:semiHidden/>
    <w:rsid w:val="00B23E9D"/>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8A27C-0657-4FD4-93BF-900E5F5B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C81AA-E9AA-47F2-8116-9EA766C1890B}">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3.xml><?xml version="1.0" encoding="utf-8"?>
<ds:datastoreItem xmlns:ds="http://schemas.openxmlformats.org/officeDocument/2006/customXml" ds:itemID="{BCC8BAD8-6F37-4270-83E6-22FC10739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4</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Boshart</dc:creator>
  <cp:keywords/>
  <dc:description/>
  <cp:lastModifiedBy>Cuddihy, Sean (Council)</cp:lastModifiedBy>
  <cp:revision>29</cp:revision>
  <dcterms:created xsi:type="dcterms:W3CDTF">2026-06-10T17:34:00Z</dcterms:created>
  <dcterms:modified xsi:type="dcterms:W3CDTF">2026-06-21T18:45:00Z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Order">
    <vt:r8>1684900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